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18B58" w14:textId="3EE5D2E0" w:rsidR="00E82827" w:rsidRDefault="00E82827" w:rsidP="00E82827">
      <w:bookmarkStart w:id="0" w:name="_Hlk485314994"/>
      <w:bookmarkEnd w:id="0"/>
      <w:r>
        <w:rPr>
          <w:noProof/>
          <w:lang w:eastAsia="fr-FR"/>
        </w:rPr>
        <w:drawing>
          <wp:inline distT="0" distB="0" distL="0" distR="0" wp14:anchorId="44BDC227" wp14:editId="3ECE384C">
            <wp:extent cx="1645508" cy="512445"/>
            <wp:effectExtent l="0" t="0" r="0" b="1905"/>
            <wp:docPr id="2" name="Image 2" descr="cid:93B497F7-97B6-467D-BF54-554E16532EF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93B497F7-97B6-467D-BF54-554E16532EF5"/>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674427" cy="521451"/>
                    </a:xfrm>
                    <a:prstGeom prst="rect">
                      <a:avLst/>
                    </a:prstGeom>
                    <a:noFill/>
                    <a:ln>
                      <a:noFill/>
                    </a:ln>
                  </pic:spPr>
                </pic:pic>
              </a:graphicData>
            </a:graphic>
          </wp:inline>
        </w:drawing>
      </w:r>
      <w:r>
        <w:tab/>
      </w:r>
      <w:r>
        <w:tab/>
      </w:r>
      <w:r>
        <w:tab/>
      </w:r>
      <w:r>
        <w:tab/>
      </w:r>
      <w:r>
        <w:tab/>
        <w:t xml:space="preserve">       </w:t>
      </w:r>
      <w:r>
        <w:tab/>
      </w:r>
      <w:r w:rsidRPr="00437F95">
        <w:rPr>
          <w:rFonts w:ascii="Avenir Next LT Pro Light" w:hAnsi="Avenir Next LT Pro Light"/>
        </w:rPr>
        <w:tab/>
        <w:t xml:space="preserve"> </w:t>
      </w:r>
      <w:r w:rsidRPr="00437F95">
        <w:rPr>
          <w:rFonts w:ascii="Avenir Next LT Pro Light" w:hAnsi="Avenir Next LT Pro Light"/>
          <w:color w:val="114D61"/>
        </w:rPr>
        <w:t>2</w:t>
      </w:r>
      <w:r w:rsidR="00437F95" w:rsidRPr="00437F95">
        <w:rPr>
          <w:rFonts w:ascii="Avenir Next LT Pro Light" w:hAnsi="Avenir Next LT Pro Light"/>
          <w:color w:val="114D61"/>
        </w:rPr>
        <w:t>5</w:t>
      </w:r>
      <w:r w:rsidRPr="00437F95">
        <w:rPr>
          <w:rFonts w:ascii="Avenir Next LT Pro Light" w:hAnsi="Avenir Next LT Pro Light"/>
          <w:color w:val="114D61"/>
        </w:rPr>
        <w:t xml:space="preserve"> </w:t>
      </w:r>
      <w:r w:rsidR="00437F95" w:rsidRPr="00437F95">
        <w:rPr>
          <w:rFonts w:ascii="Avenir Next LT Pro Light" w:hAnsi="Avenir Next LT Pro Light"/>
          <w:color w:val="114D61"/>
        </w:rPr>
        <w:t>novembre</w:t>
      </w:r>
      <w:r w:rsidRPr="00437F95">
        <w:rPr>
          <w:rFonts w:ascii="Avenir Next LT Pro Light" w:hAnsi="Avenir Next LT Pro Light"/>
          <w:color w:val="114D61"/>
        </w:rPr>
        <w:t xml:space="preserve"> 2025</w:t>
      </w:r>
      <w:r>
        <w:rPr>
          <w:rFonts w:ascii="Avenir LT Std 35 Light" w:hAnsi="Avenir LT Std 35 Light"/>
          <w:color w:val="114D61"/>
        </w:rPr>
        <w:t xml:space="preserve"> </w:t>
      </w:r>
    </w:p>
    <w:p w14:paraId="057B71CF" w14:textId="77777777" w:rsidR="00E82827" w:rsidRPr="00650480" w:rsidRDefault="00E82827" w:rsidP="00E82827">
      <w:pPr>
        <w:rPr>
          <w:rFonts w:ascii="Verdana" w:hAnsi="Verdana" w:cstheme="minorHAnsi"/>
          <w:u w:val="single"/>
        </w:rPr>
      </w:pPr>
      <w:r>
        <w:rPr>
          <w:noProof/>
        </w:rPr>
        <mc:AlternateContent>
          <mc:Choice Requires="wps">
            <w:drawing>
              <wp:anchor distT="0" distB="0" distL="114300" distR="114300" simplePos="0" relativeHeight="251659264" behindDoc="0" locked="0" layoutInCell="1" allowOverlap="1" wp14:anchorId="08528531" wp14:editId="69DB3D56">
                <wp:simplePos x="0" y="0"/>
                <wp:positionH relativeFrom="margin">
                  <wp:align>right</wp:align>
                </wp:positionH>
                <wp:positionV relativeFrom="paragraph">
                  <wp:posOffset>409575</wp:posOffset>
                </wp:positionV>
                <wp:extent cx="6686550" cy="122872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6686550" cy="1228725"/>
                        </a:xfrm>
                        <a:prstGeom prst="rect">
                          <a:avLst/>
                        </a:prstGeom>
                        <a:solidFill>
                          <a:srgbClr val="114D6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322CDF8" w14:textId="77777777" w:rsidR="00437F95" w:rsidRDefault="00437F95" w:rsidP="00437F95">
                            <w:pPr>
                              <w:spacing w:line="276" w:lineRule="auto"/>
                              <w:ind w:left="709"/>
                              <w:contextualSpacing/>
                              <w:rPr>
                                <w:rFonts w:ascii="Avenir LT Std 35 Light" w:hAnsi="Avenir LT Std 35 Light"/>
                                <w:sz w:val="40"/>
                                <w:szCs w:val="40"/>
                              </w:rPr>
                            </w:pPr>
                            <w:r>
                              <w:rPr>
                                <w:rFonts w:ascii="Avenir LT Std 35 Light" w:hAnsi="Avenir LT Std 35 Light"/>
                                <w:sz w:val="40"/>
                                <w:szCs w:val="40"/>
                              </w:rPr>
                              <w:t>Paquet de simplification « Omnibus » numérique</w:t>
                            </w:r>
                          </w:p>
                          <w:p w14:paraId="40ADEEB3" w14:textId="77777777" w:rsidR="00437F95" w:rsidRDefault="00E82827" w:rsidP="00437F95">
                            <w:pPr>
                              <w:spacing w:line="276" w:lineRule="auto"/>
                              <w:ind w:left="709"/>
                              <w:contextualSpacing/>
                              <w:rPr>
                                <w:rFonts w:ascii="Avenir LT Std 35 Light" w:hAnsi="Avenir LT Std 35 Light"/>
                                <w:sz w:val="40"/>
                                <w:szCs w:val="40"/>
                              </w:rPr>
                            </w:pPr>
                            <w:r>
                              <w:rPr>
                                <w:rFonts w:ascii="Avenir LT Std 35 Light" w:hAnsi="Avenir LT Std 35 Light"/>
                                <w:sz w:val="40"/>
                                <w:szCs w:val="40"/>
                              </w:rPr>
                              <w:t xml:space="preserve"> - </w:t>
                            </w:r>
                          </w:p>
                          <w:p w14:paraId="185EE885" w14:textId="29446A47" w:rsidR="00E82827" w:rsidRPr="00437F95" w:rsidRDefault="00E82827" w:rsidP="00437F95">
                            <w:pPr>
                              <w:spacing w:line="276" w:lineRule="auto"/>
                              <w:ind w:left="709"/>
                              <w:contextualSpacing/>
                              <w:rPr>
                                <w:rFonts w:ascii="Avenir LT Std 35 Light" w:hAnsi="Avenir LT Std 35 Light"/>
                                <w:sz w:val="36"/>
                                <w:szCs w:val="36"/>
                              </w:rPr>
                            </w:pPr>
                            <w:r w:rsidRPr="00437F95">
                              <w:rPr>
                                <w:rFonts w:ascii="Avenir LT Std 35 Light" w:hAnsi="Avenir LT Std 35 Light"/>
                                <w:sz w:val="36"/>
                                <w:szCs w:val="36"/>
                              </w:rPr>
                              <w:t>Synthèse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528531" id="Rectangle 7" o:spid="_x0000_s1026" style="position:absolute;margin-left:475.3pt;margin-top:32.25pt;width:526.5pt;height:96.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" fillcolor="#114d61" strokecolor="#0a2f40 [1604]" strokeweight="1.5pt">
                <v:textbox>
                  <w:txbxContent>
                    <w:p w14:paraId="4322CDF8" w14:textId="77777777" w:rsidR="00437F95" w:rsidRDefault="00437F95" w:rsidP="00437F95">
                      <w:pPr>
                        <w:spacing w:line="276" w:lineRule="auto"/>
                        <w:ind w:left="709"/>
                        <w:contextualSpacing/>
                        <w:rPr>
                          <w:rFonts w:ascii="Avenir LT Std 35 Light" w:hAnsi="Avenir LT Std 35 Light"/>
                          <w:sz w:val="40"/>
                          <w:szCs w:val="40"/>
                        </w:rPr>
                      </w:pPr>
                      <w:r>
                        <w:rPr>
                          <w:rFonts w:ascii="Avenir LT Std 35 Light" w:hAnsi="Avenir LT Std 35 Light"/>
                          <w:sz w:val="40"/>
                          <w:szCs w:val="40"/>
                        </w:rPr>
                        <w:t>Paquet de simplification « Omnibus » numérique</w:t>
                      </w:r>
                    </w:p>
                    <w:p w14:paraId="40ADEEB3" w14:textId="77777777" w:rsidR="00437F95" w:rsidRDefault="00E82827" w:rsidP="00437F95">
                      <w:pPr>
                        <w:spacing w:line="276" w:lineRule="auto"/>
                        <w:ind w:left="709"/>
                        <w:contextualSpacing/>
                        <w:rPr>
                          <w:rFonts w:ascii="Avenir LT Std 35 Light" w:hAnsi="Avenir LT Std 35 Light"/>
                          <w:sz w:val="40"/>
                          <w:szCs w:val="40"/>
                        </w:rPr>
                      </w:pPr>
                      <w:r>
                        <w:rPr>
                          <w:rFonts w:ascii="Avenir LT Std 35 Light" w:hAnsi="Avenir LT Std 35 Light"/>
                          <w:sz w:val="40"/>
                          <w:szCs w:val="40"/>
                        </w:rPr>
                        <w:t xml:space="preserve"> - </w:t>
                      </w:r>
                    </w:p>
                    <w:p w14:paraId="185EE885" w14:textId="29446A47" w:rsidR="00E82827" w:rsidRPr="00437F95" w:rsidRDefault="00E82827" w:rsidP="00437F95">
                      <w:pPr>
                        <w:spacing w:line="276" w:lineRule="auto"/>
                        <w:ind w:left="709"/>
                        <w:contextualSpacing/>
                        <w:rPr>
                          <w:rFonts w:ascii="Avenir LT Std 35 Light" w:hAnsi="Avenir LT Std 35 Light"/>
                          <w:sz w:val="36"/>
                          <w:szCs w:val="36"/>
                        </w:rPr>
                      </w:pPr>
                      <w:r w:rsidRPr="00437F95">
                        <w:rPr>
                          <w:rFonts w:ascii="Avenir LT Std 35 Light" w:hAnsi="Avenir LT Std 35 Light"/>
                          <w:sz w:val="36"/>
                          <w:szCs w:val="36"/>
                        </w:rPr>
                        <w:t>Synthèse</w:t>
                      </w:r>
                    </w:p>
                  </w:txbxContent>
                </v:textbox>
                <w10:wrap anchorx="margin"/>
              </v:rect>
            </w:pict>
          </mc:Fallback>
        </mc:AlternateContent>
      </w:r>
      <w:r>
        <w:br/>
      </w:r>
    </w:p>
    <w:p w14:paraId="6BC9C692" w14:textId="77777777" w:rsidR="00E82827" w:rsidRDefault="00E82827" w:rsidP="00E82827">
      <w:pPr>
        <w:spacing w:line="276" w:lineRule="auto"/>
        <w:rPr>
          <w:rFonts w:ascii="Verdana" w:hAnsi="Verdana" w:cstheme="minorHAnsi"/>
          <w:sz w:val="20"/>
          <w:szCs w:val="20"/>
        </w:rPr>
      </w:pPr>
    </w:p>
    <w:p w14:paraId="36D3CDF8" w14:textId="77777777" w:rsidR="00E82827" w:rsidRDefault="00E82827" w:rsidP="00E82827">
      <w:pPr>
        <w:spacing w:line="276" w:lineRule="auto"/>
        <w:rPr>
          <w:rFonts w:ascii="Verdana" w:hAnsi="Verdana" w:cstheme="minorHAnsi"/>
          <w:sz w:val="20"/>
          <w:szCs w:val="20"/>
        </w:rPr>
      </w:pPr>
      <w:r>
        <w:rPr>
          <w:rFonts w:ascii="Verdana" w:hAnsi="Verdana" w:cstheme="minorHAnsi"/>
          <w:sz w:val="20"/>
          <w:szCs w:val="20"/>
        </w:rPr>
        <w:t xml:space="preserve">Titre </w:t>
      </w:r>
    </w:p>
    <w:p w14:paraId="7691718A" w14:textId="77777777" w:rsidR="00E82827" w:rsidRDefault="00E82827" w:rsidP="00E82827">
      <w:pPr>
        <w:spacing w:after="0" w:line="240" w:lineRule="auto"/>
        <w:jc w:val="both"/>
        <w:rPr>
          <w:rFonts w:ascii="Avenir LT Std 65 Medium" w:hAnsi="Avenir LT Std 65 Medium" w:cstheme="minorHAnsi"/>
          <w:color w:val="114D61"/>
        </w:rPr>
      </w:pPr>
      <w:r>
        <w:rPr>
          <w:rFonts w:ascii="Avenir LT Std 65 Medium" w:hAnsi="Avenir LT Std 65 Medium" w:cstheme="minorHAnsi"/>
          <w:color w:val="002060"/>
        </w:rPr>
        <w:br/>
      </w:r>
    </w:p>
    <w:p w14:paraId="18791AE2" w14:textId="77777777" w:rsidR="00061CCF" w:rsidRDefault="00061CCF" w:rsidP="00E82827">
      <w:pPr>
        <w:spacing w:after="0" w:line="240" w:lineRule="auto"/>
        <w:jc w:val="both"/>
        <w:rPr>
          <w:rFonts w:ascii="Avenir LT Std 65 Medium" w:hAnsi="Avenir LT Std 65 Medium" w:cstheme="minorHAnsi"/>
          <w:color w:val="114D61"/>
        </w:rPr>
      </w:pPr>
    </w:p>
    <w:p w14:paraId="4469855B" w14:textId="77777777" w:rsidR="00437F95" w:rsidRDefault="00437F95" w:rsidP="008862C1">
      <w:pPr>
        <w:spacing w:after="0" w:line="276" w:lineRule="auto"/>
        <w:jc w:val="both"/>
        <w:rPr>
          <w:rFonts w:ascii="Avenir LT Std 65 Medium" w:hAnsi="Avenir LT Std 65 Medium" w:cstheme="minorHAnsi"/>
          <w:color w:val="F59E33"/>
          <w:sz w:val="24"/>
          <w:szCs w:val="24"/>
        </w:rPr>
      </w:pPr>
    </w:p>
    <w:p w14:paraId="3DDE8418" w14:textId="77777777" w:rsidR="00437F95" w:rsidRDefault="00437F95" w:rsidP="008862C1">
      <w:pPr>
        <w:spacing w:after="0" w:line="276" w:lineRule="auto"/>
        <w:jc w:val="both"/>
        <w:rPr>
          <w:rFonts w:ascii="Avenir LT Std 65 Medium" w:hAnsi="Avenir LT Std 65 Medium" w:cstheme="minorHAnsi"/>
          <w:color w:val="F59E33"/>
          <w:sz w:val="24"/>
          <w:szCs w:val="24"/>
        </w:rPr>
      </w:pPr>
    </w:p>
    <w:p w14:paraId="37F4F056" w14:textId="7CBAB715" w:rsidR="00437F95" w:rsidRDefault="00437F95" w:rsidP="00437F95">
      <w:pPr>
        <w:jc w:val="both"/>
        <w:rPr>
          <w:rFonts w:ascii="Avenir Next LT Pro Light" w:hAnsi="Avenir Next LT Pro Light"/>
          <w:kern w:val="2"/>
          <w14:ligatures w14:val="standardContextual"/>
        </w:rPr>
      </w:pPr>
      <w:r w:rsidRPr="00437F95">
        <w:rPr>
          <w:rFonts w:ascii="Avenir Next LT Pro Light" w:hAnsi="Avenir Next LT Pro Light"/>
          <w:kern w:val="2"/>
          <w14:ligatures w14:val="standardContextual"/>
        </w:rPr>
        <w:t xml:space="preserve">La Commission européenne a présenté le 19 novembre 2025 </w:t>
      </w:r>
      <w:r>
        <w:rPr>
          <w:rFonts w:ascii="Avenir Next LT Pro Light" w:hAnsi="Avenir Next LT Pro Light"/>
          <w:kern w:val="2"/>
          <w14:ligatures w14:val="standardContextual"/>
        </w:rPr>
        <w:t>son paquet de simplification « Omnibus » dans le champ numérique</w:t>
      </w:r>
      <w:r w:rsidRPr="00437F95">
        <w:rPr>
          <w:rFonts w:ascii="Avenir Next LT Pro Light" w:hAnsi="Avenir Next LT Pro Light"/>
          <w:kern w:val="2"/>
          <w14:ligatures w14:val="standardContextual"/>
        </w:rPr>
        <w:t xml:space="preserve">, un ensemble de mesures visant à "simplifier" plusieurs règlements numériques, dont le RGPD et </w:t>
      </w:r>
      <w:r w:rsidRPr="00437F95">
        <w:rPr>
          <w:rFonts w:ascii="Avenir Next LT Pro Light" w:hAnsi="Avenir Next LT Pro Light"/>
          <w:i/>
          <w:iCs/>
          <w:kern w:val="2"/>
          <w14:ligatures w14:val="standardContextual"/>
        </w:rPr>
        <w:t>l'AI Act.</w:t>
      </w:r>
      <w:r w:rsidRPr="00437F95">
        <w:rPr>
          <w:rFonts w:ascii="Avenir Next LT Pro Light" w:hAnsi="Avenir Next LT Pro Light"/>
          <w:kern w:val="2"/>
          <w14:ligatures w14:val="standardContextual"/>
        </w:rPr>
        <w:t xml:space="preserve"> Salué par la France et l'Allemagne,</w:t>
      </w:r>
      <w:r>
        <w:rPr>
          <w:rFonts w:ascii="Avenir Next LT Pro Light" w:hAnsi="Avenir Next LT Pro Light"/>
          <w:kern w:val="2"/>
          <w14:ligatures w14:val="standardContextual"/>
        </w:rPr>
        <w:t xml:space="preserve"> ce paquet se compose en réalité de deux propositions législatives : </w:t>
      </w:r>
    </w:p>
    <w:p w14:paraId="22BC057A" w14:textId="557E3D80" w:rsidR="00437F95" w:rsidRPr="00437F95" w:rsidRDefault="00437F95" w:rsidP="00437F95">
      <w:pPr>
        <w:pStyle w:val="Paragraphedeliste"/>
        <w:numPr>
          <w:ilvl w:val="0"/>
          <w:numId w:val="1"/>
        </w:numPr>
        <w:jc w:val="both"/>
        <w:rPr>
          <w:rFonts w:ascii="Avenir Next LT Pro Light" w:hAnsi="Avenir Next LT Pro Light"/>
        </w:rPr>
      </w:pPr>
      <w:hyperlink r:id="rId9" w:history="1">
        <w:r w:rsidRPr="00437F95">
          <w:rPr>
            <w:rStyle w:val="Lienhypertexte"/>
            <w:rFonts w:ascii="Avenir Next LT Pro Light" w:hAnsi="Avenir Next LT Pro Light"/>
            <w:sz w:val="22"/>
            <w:szCs w:val="22"/>
          </w:rPr>
          <w:t>Une proposition de règlement</w:t>
        </w:r>
      </w:hyperlink>
      <w:r w:rsidRPr="00437F95">
        <w:rPr>
          <w:rFonts w:ascii="Avenir Next LT Pro Light" w:hAnsi="Avenir Next LT Pro Light"/>
          <w:sz w:val="22"/>
          <w:szCs w:val="22"/>
        </w:rPr>
        <w:t xml:space="preserve"> modifiant le RGPD, la directive </w:t>
      </w:r>
      <w:r>
        <w:rPr>
          <w:rFonts w:ascii="Avenir Next LT Pro Light" w:hAnsi="Avenir Next LT Pro Light"/>
          <w:sz w:val="22"/>
          <w:szCs w:val="22"/>
        </w:rPr>
        <w:t xml:space="preserve">ePrivacy, la directive NIS 2 et prévoit l’intégration du « Digital Governance Act » au sein du Data Act, </w:t>
      </w:r>
    </w:p>
    <w:p w14:paraId="20F36399" w14:textId="705B65A4" w:rsidR="00437F95" w:rsidRPr="00437F95" w:rsidRDefault="00437F95" w:rsidP="00437F95">
      <w:pPr>
        <w:pStyle w:val="Paragraphedeliste"/>
        <w:numPr>
          <w:ilvl w:val="0"/>
          <w:numId w:val="1"/>
        </w:numPr>
        <w:jc w:val="both"/>
        <w:rPr>
          <w:rFonts w:ascii="Avenir Next LT Pro Light" w:hAnsi="Avenir Next LT Pro Light"/>
        </w:rPr>
      </w:pPr>
      <w:hyperlink r:id="rId10" w:history="1">
        <w:r w:rsidRPr="00437F95">
          <w:rPr>
            <w:rStyle w:val="Lienhypertexte"/>
            <w:rFonts w:ascii="Avenir Next LT Pro Light" w:hAnsi="Avenir Next LT Pro Light"/>
            <w:sz w:val="22"/>
            <w:szCs w:val="22"/>
          </w:rPr>
          <w:t>Une proposition de règlement</w:t>
        </w:r>
      </w:hyperlink>
      <w:r>
        <w:rPr>
          <w:rFonts w:ascii="Avenir Next LT Pro Light" w:hAnsi="Avenir Next LT Pro Light"/>
          <w:sz w:val="22"/>
          <w:szCs w:val="22"/>
        </w:rPr>
        <w:t xml:space="preserve"> dédié au règlement sur l’intelligence artificielle (</w:t>
      </w:r>
      <w:r w:rsidRPr="00437F95">
        <w:rPr>
          <w:rFonts w:ascii="Avenir Next LT Pro Light" w:hAnsi="Avenir Next LT Pro Light"/>
          <w:i/>
          <w:iCs/>
          <w:sz w:val="22"/>
          <w:szCs w:val="22"/>
        </w:rPr>
        <w:t>AI Act</w:t>
      </w:r>
      <w:r>
        <w:rPr>
          <w:rFonts w:ascii="Avenir Next LT Pro Light" w:hAnsi="Avenir Next LT Pro Light"/>
          <w:sz w:val="22"/>
          <w:szCs w:val="22"/>
        </w:rPr>
        <w:t xml:space="preserve">). </w:t>
      </w:r>
    </w:p>
    <w:p w14:paraId="3912B816" w14:textId="707A6784" w:rsidR="00437F95" w:rsidRPr="00437F95" w:rsidRDefault="00437F95" w:rsidP="00437F95">
      <w:pPr>
        <w:jc w:val="both"/>
        <w:rPr>
          <w:rFonts w:ascii="Avenir Next LT Pro Light" w:hAnsi="Avenir Next LT Pro Light"/>
        </w:rPr>
      </w:pPr>
      <w:r>
        <w:rPr>
          <w:rFonts w:ascii="Avenir Next LT Pro Light" w:hAnsi="Avenir Next LT Pro Light"/>
        </w:rPr>
        <w:t xml:space="preserve">La Commission estime que ces simplifications pourraient générer jusqu’à 5 milliards d’euros d’économies d’ici 2029. Plusieurs propositions de simplification concernent directement les PME : </w:t>
      </w:r>
    </w:p>
    <w:p w14:paraId="382B88C0" w14:textId="77777777" w:rsidR="00437F95" w:rsidRDefault="00437F95" w:rsidP="008862C1">
      <w:pPr>
        <w:spacing w:after="0" w:line="276" w:lineRule="auto"/>
        <w:jc w:val="both"/>
        <w:rPr>
          <w:rFonts w:ascii="Avenir LT Std 65 Medium" w:hAnsi="Avenir LT Std 65 Medium" w:cstheme="minorHAnsi"/>
          <w:color w:val="F59E33"/>
          <w:sz w:val="24"/>
          <w:szCs w:val="24"/>
        </w:rPr>
      </w:pPr>
    </w:p>
    <w:p w14:paraId="46B7340B" w14:textId="23FCE865" w:rsidR="006D1564" w:rsidRDefault="00061CCF" w:rsidP="008862C1">
      <w:pPr>
        <w:spacing w:after="0" w:line="276" w:lineRule="auto"/>
        <w:jc w:val="both"/>
        <w:rPr>
          <w:rFonts w:ascii="Avenir LT Std 65 Medium" w:hAnsi="Avenir LT Std 65 Medium" w:cstheme="minorHAnsi"/>
          <w:color w:val="F59E33"/>
          <w:sz w:val="24"/>
          <w:szCs w:val="24"/>
        </w:rPr>
      </w:pPr>
      <w:r>
        <w:rPr>
          <w:rFonts w:ascii="Avenir LT Std 65 Medium" w:hAnsi="Avenir LT Std 65 Medium" w:cstheme="minorHAnsi"/>
          <w:color w:val="F59E33"/>
          <w:sz w:val="24"/>
          <w:szCs w:val="24"/>
        </w:rPr>
        <w:t xml:space="preserve">1 – </w:t>
      </w:r>
      <w:r w:rsidR="00437F95">
        <w:rPr>
          <w:rFonts w:ascii="Avenir LT Std 65 Medium" w:hAnsi="Avenir LT Std 65 Medium" w:cstheme="minorHAnsi"/>
          <w:color w:val="F59E33"/>
          <w:sz w:val="24"/>
          <w:szCs w:val="24"/>
        </w:rPr>
        <w:t>RGPD</w:t>
      </w:r>
      <w:r>
        <w:rPr>
          <w:rFonts w:ascii="Avenir LT Std 65 Medium" w:hAnsi="Avenir LT Std 65 Medium" w:cstheme="minorHAnsi"/>
          <w:color w:val="F59E33"/>
          <w:sz w:val="24"/>
          <w:szCs w:val="24"/>
        </w:rPr>
        <w:t xml:space="preserve"> </w:t>
      </w:r>
    </w:p>
    <w:p w14:paraId="39C2106E" w14:textId="6CAD4645" w:rsidR="00437F95" w:rsidRDefault="00437F95" w:rsidP="008862C1">
      <w:pPr>
        <w:spacing w:after="0" w:line="276" w:lineRule="auto"/>
        <w:jc w:val="both"/>
        <w:rPr>
          <w:rFonts w:ascii="Avenir LT Std 65 Medium" w:hAnsi="Avenir LT Std 65 Medium" w:cstheme="minorHAnsi"/>
          <w:color w:val="F59E33"/>
          <w:sz w:val="24"/>
          <w:szCs w:val="24"/>
        </w:rPr>
      </w:pPr>
    </w:p>
    <w:p w14:paraId="620DE047" w14:textId="7C62CB32" w:rsidR="00E3747E" w:rsidRDefault="00E3747E" w:rsidP="00E3747E">
      <w:pPr>
        <w:jc w:val="both"/>
        <w:rPr>
          <w:rFonts w:ascii="Avenir Next LT Pro Light" w:hAnsi="Avenir Next LT Pro Light"/>
          <w:kern w:val="2"/>
          <w14:ligatures w14:val="standardContextual"/>
        </w:rPr>
      </w:pPr>
      <w:r w:rsidRPr="00E3747E">
        <w:rPr>
          <w:rFonts w:ascii="Avenir Next LT Pro Light" w:hAnsi="Avenir Next LT Pro Light"/>
          <w:kern w:val="2"/>
          <w14:ligatures w14:val="standardContextual"/>
        </w:rPr>
        <w:t>La proposition de règlement introduit plusieurs modifications substantielles relatives au RGPD</w:t>
      </w:r>
      <w:r w:rsidR="00C657C8">
        <w:rPr>
          <w:rFonts w:ascii="Avenir Next LT Pro Light" w:hAnsi="Avenir Next LT Pro Light"/>
          <w:kern w:val="2"/>
          <w14:ligatures w14:val="standardContextual"/>
        </w:rPr>
        <w:t>, outre l’extension de la majorité des mesures concernant les TPE/PME aux ETI</w:t>
      </w:r>
      <w:r w:rsidRPr="00E3747E">
        <w:rPr>
          <w:rFonts w:ascii="Avenir Next LT Pro Light" w:hAnsi="Avenir Next LT Pro Light"/>
          <w:kern w:val="2"/>
          <w14:ligatures w14:val="standardContextual"/>
        </w:rPr>
        <w:t xml:space="preserve"> : </w:t>
      </w:r>
    </w:p>
    <w:p w14:paraId="022ECE65" w14:textId="2D48F2C4" w:rsidR="00E3747E" w:rsidRPr="00E3747E" w:rsidRDefault="00E3747E" w:rsidP="00E3747E">
      <w:pPr>
        <w:jc w:val="both"/>
        <w:rPr>
          <w:rFonts w:ascii="Avenir Next LT Pro Light" w:hAnsi="Avenir Next LT Pro Light"/>
          <w:i/>
          <w:iCs/>
          <w:kern w:val="2"/>
          <w14:ligatures w14:val="standardContextual"/>
        </w:rPr>
      </w:pPr>
      <w:r w:rsidRPr="00E3747E">
        <w:rPr>
          <w:rFonts w:ascii="Avenir Next LT Pro Light" w:hAnsi="Avenir Next LT Pro Light"/>
          <w:i/>
          <w:iCs/>
          <w:kern w:val="2"/>
          <w14:ligatures w14:val="standardContextual"/>
        </w:rPr>
        <w:t xml:space="preserve">Concernant la pseudonymisation des données : </w:t>
      </w:r>
    </w:p>
    <w:p w14:paraId="5E5C8A2C" w14:textId="11F67321" w:rsidR="00E3747E" w:rsidRDefault="00E3747E" w:rsidP="00E3747E">
      <w:pPr>
        <w:pStyle w:val="Paragraphedeliste"/>
        <w:numPr>
          <w:ilvl w:val="0"/>
          <w:numId w:val="1"/>
        </w:numPr>
        <w:jc w:val="both"/>
        <w:rPr>
          <w:rFonts w:ascii="Avenir Next LT Pro Light" w:hAnsi="Avenir Next LT Pro Light"/>
          <w:sz w:val="22"/>
          <w:szCs w:val="22"/>
        </w:rPr>
      </w:pPr>
      <w:r w:rsidRPr="00E3747E">
        <w:rPr>
          <w:rFonts w:ascii="Avenir Next LT Pro Light" w:hAnsi="Avenir Next LT Pro Light"/>
          <w:sz w:val="22"/>
          <w:szCs w:val="22"/>
        </w:rPr>
        <w:t>Le projet introduit un </w:t>
      </w:r>
      <w:r w:rsidRPr="00E3747E">
        <w:rPr>
          <w:rFonts w:ascii="Avenir Next LT Pro Light" w:hAnsi="Avenir Next LT Pro Light"/>
          <w:b/>
          <w:bCs/>
          <w:i/>
          <w:iCs/>
          <w:sz w:val="22"/>
          <w:szCs w:val="22"/>
        </w:rPr>
        <w:t>"intérêt légitime" </w:t>
      </w:r>
      <w:r w:rsidRPr="00E3747E">
        <w:rPr>
          <w:rFonts w:ascii="Avenir Next LT Pro Light" w:hAnsi="Avenir Next LT Pro Light"/>
          <w:sz w:val="22"/>
          <w:szCs w:val="22"/>
        </w:rPr>
        <w:t xml:space="preserve">permettant d'entraîner des systèmes d'IA </w:t>
      </w:r>
      <w:r w:rsidR="007666FC">
        <w:rPr>
          <w:rFonts w:ascii="Avenir Next LT Pro Light" w:hAnsi="Avenir Next LT Pro Light"/>
          <w:sz w:val="22"/>
          <w:szCs w:val="22"/>
        </w:rPr>
        <w:t xml:space="preserve">avec </w:t>
      </w:r>
      <w:r w:rsidRPr="00E3747E">
        <w:rPr>
          <w:rFonts w:ascii="Avenir Next LT Pro Light" w:hAnsi="Avenir Next LT Pro Light"/>
          <w:sz w:val="22"/>
          <w:szCs w:val="22"/>
        </w:rPr>
        <w:t>des données personnelles pseudonymisées, sans consentement préalable, à condition que des garanties appropriées soient mises en place. </w:t>
      </w:r>
    </w:p>
    <w:p w14:paraId="5A7C07A1" w14:textId="6DA9BEEF" w:rsidR="005C6087" w:rsidRDefault="00FF7A67" w:rsidP="00E3747E">
      <w:pPr>
        <w:pStyle w:val="Paragraphedeliste"/>
        <w:numPr>
          <w:ilvl w:val="0"/>
          <w:numId w:val="1"/>
        </w:numPr>
        <w:jc w:val="both"/>
        <w:rPr>
          <w:rFonts w:ascii="Avenir Next LT Pro Light" w:hAnsi="Avenir Next LT Pro Light"/>
          <w:sz w:val="22"/>
          <w:szCs w:val="22"/>
        </w:rPr>
      </w:pPr>
      <w:r>
        <w:rPr>
          <w:rFonts w:ascii="Avenir Next LT Pro Light" w:hAnsi="Avenir Next LT Pro Light"/>
          <w:sz w:val="22"/>
          <w:szCs w:val="22"/>
        </w:rPr>
        <w:t xml:space="preserve">Les données anonymisées ne seront par ailleurs plus considérées comme des données personnelles. </w:t>
      </w:r>
      <w:r w:rsidR="007666FC">
        <w:rPr>
          <w:rFonts w:ascii="Avenir Next LT Pro Light" w:hAnsi="Avenir Next LT Pro Light"/>
          <w:sz w:val="22"/>
          <w:szCs w:val="22"/>
        </w:rPr>
        <w:t xml:space="preserve">Cette proposition découle de la </w:t>
      </w:r>
      <w:hyperlink r:id="rId11" w:history="1">
        <w:r w:rsidR="007666FC" w:rsidRPr="007666FC">
          <w:rPr>
            <w:rStyle w:val="Lienhypertexte"/>
            <w:rFonts w:ascii="Avenir Next LT Pro Light" w:hAnsi="Avenir Next LT Pro Light"/>
            <w:sz w:val="22"/>
            <w:szCs w:val="22"/>
          </w:rPr>
          <w:t>jurisprudence</w:t>
        </w:r>
      </w:hyperlink>
      <w:r w:rsidR="007666FC">
        <w:rPr>
          <w:rFonts w:ascii="Avenir Next LT Pro Light" w:hAnsi="Avenir Next LT Pro Light"/>
          <w:sz w:val="22"/>
          <w:szCs w:val="22"/>
        </w:rPr>
        <w:t xml:space="preserve"> récente de la CJUE. </w:t>
      </w:r>
    </w:p>
    <w:p w14:paraId="40265F9B" w14:textId="5BC30BBC" w:rsidR="00C657C8" w:rsidRDefault="00C657C8" w:rsidP="00E3747E">
      <w:pPr>
        <w:pStyle w:val="Paragraphedeliste"/>
        <w:numPr>
          <w:ilvl w:val="0"/>
          <w:numId w:val="1"/>
        </w:numPr>
        <w:jc w:val="both"/>
        <w:rPr>
          <w:rFonts w:ascii="Avenir Next LT Pro Light" w:hAnsi="Avenir Next LT Pro Light"/>
          <w:sz w:val="22"/>
          <w:szCs w:val="22"/>
        </w:rPr>
      </w:pPr>
      <w:r>
        <w:rPr>
          <w:rFonts w:ascii="Avenir Next LT Pro Light" w:hAnsi="Avenir Next LT Pro Light"/>
          <w:sz w:val="22"/>
          <w:szCs w:val="22"/>
        </w:rPr>
        <w:t>La Commission s’engage</w:t>
      </w:r>
      <w:r w:rsidR="000600C5">
        <w:rPr>
          <w:rFonts w:ascii="Avenir Next LT Pro Light" w:hAnsi="Avenir Next LT Pro Light"/>
          <w:sz w:val="22"/>
          <w:szCs w:val="22"/>
        </w:rPr>
        <w:t xml:space="preserve"> enfin</w:t>
      </w:r>
      <w:r>
        <w:rPr>
          <w:rFonts w:ascii="Avenir Next LT Pro Light" w:hAnsi="Avenir Next LT Pro Light"/>
          <w:sz w:val="22"/>
          <w:szCs w:val="22"/>
        </w:rPr>
        <w:t xml:space="preserve"> à publier des lignes directrices en matière d’anonymisation et de pseudonymisation des données, demande de longue date de la CPME. </w:t>
      </w:r>
    </w:p>
    <w:p w14:paraId="31C8D154" w14:textId="77777777" w:rsidR="00E3747E" w:rsidRDefault="00E3747E" w:rsidP="00E3747E">
      <w:pPr>
        <w:jc w:val="both"/>
        <w:rPr>
          <w:rFonts w:ascii="Avenir Next LT Pro Light" w:hAnsi="Avenir Next LT Pro Light"/>
        </w:rPr>
      </w:pPr>
    </w:p>
    <w:p w14:paraId="14A94346" w14:textId="1A59E026" w:rsidR="00C657C8" w:rsidRPr="00E3747E" w:rsidRDefault="00C657C8" w:rsidP="00C657C8">
      <w:pPr>
        <w:jc w:val="both"/>
        <w:rPr>
          <w:rFonts w:ascii="Avenir Next LT Pro Light" w:hAnsi="Avenir Next LT Pro Light"/>
          <w:i/>
          <w:iCs/>
          <w:kern w:val="2"/>
          <w14:ligatures w14:val="standardContextual"/>
        </w:rPr>
      </w:pPr>
      <w:r>
        <w:rPr>
          <w:rFonts w:ascii="Avenir Next LT Pro Light" w:hAnsi="Avenir Next LT Pro Light"/>
          <w:i/>
          <w:iCs/>
          <w:kern w:val="2"/>
          <w14:ligatures w14:val="standardContextual"/>
        </w:rPr>
        <w:lastRenderedPageBreak/>
        <w:t>Concernant la notion de « haut risque »</w:t>
      </w:r>
      <w:r w:rsidRPr="00E3747E">
        <w:rPr>
          <w:rFonts w:ascii="Avenir Next LT Pro Light" w:hAnsi="Avenir Next LT Pro Light"/>
          <w:i/>
          <w:iCs/>
          <w:kern w:val="2"/>
          <w14:ligatures w14:val="standardContextual"/>
        </w:rPr>
        <w:t xml:space="preserve"> : </w:t>
      </w:r>
    </w:p>
    <w:p w14:paraId="55E63623" w14:textId="55E45976" w:rsidR="00C657C8" w:rsidRDefault="00C657C8" w:rsidP="00C657C8">
      <w:pPr>
        <w:pStyle w:val="Paragraphedeliste"/>
        <w:numPr>
          <w:ilvl w:val="0"/>
          <w:numId w:val="1"/>
        </w:numPr>
        <w:jc w:val="both"/>
        <w:rPr>
          <w:rFonts w:ascii="Avenir Next LT Pro Light" w:hAnsi="Avenir Next LT Pro Light"/>
          <w:sz w:val="22"/>
          <w:szCs w:val="22"/>
        </w:rPr>
      </w:pPr>
      <w:r>
        <w:rPr>
          <w:rFonts w:ascii="Avenir Next LT Pro Light" w:hAnsi="Avenir Next LT Pro Light"/>
          <w:sz w:val="22"/>
          <w:szCs w:val="22"/>
        </w:rPr>
        <w:t xml:space="preserve">Les PME ne devront désormais signaler une fuite de données que si elle présente un </w:t>
      </w:r>
      <w:r w:rsidRPr="00B65693">
        <w:rPr>
          <w:rFonts w:ascii="Avenir Next LT Pro Light" w:hAnsi="Avenir Next LT Pro Light"/>
          <w:b/>
          <w:bCs/>
          <w:sz w:val="22"/>
          <w:szCs w:val="22"/>
        </w:rPr>
        <w:t>haut-risque</w:t>
      </w:r>
      <w:r>
        <w:rPr>
          <w:rFonts w:ascii="Avenir Next LT Pro Light" w:hAnsi="Avenir Next LT Pro Light"/>
          <w:sz w:val="22"/>
          <w:szCs w:val="22"/>
        </w:rPr>
        <w:t xml:space="preserve"> pour celles et ceux dont les données sont concernées</w:t>
      </w:r>
      <w:r w:rsidR="00EE0CCB">
        <w:rPr>
          <w:rFonts w:ascii="Avenir Next LT Pro Light" w:hAnsi="Avenir Next LT Pro Light"/>
          <w:sz w:val="22"/>
          <w:szCs w:val="22"/>
        </w:rPr>
        <w:t>. L’Autorité européenne de protection des données publiera</w:t>
      </w:r>
      <w:r w:rsidR="000600C5">
        <w:rPr>
          <w:rFonts w:ascii="Avenir Next LT Pro Light" w:hAnsi="Avenir Next LT Pro Light"/>
          <w:sz w:val="22"/>
          <w:szCs w:val="22"/>
        </w:rPr>
        <w:t xml:space="preserve"> (EDPB)</w:t>
      </w:r>
      <w:r w:rsidR="00EE0CCB">
        <w:rPr>
          <w:rFonts w:ascii="Avenir Next LT Pro Light" w:hAnsi="Avenir Next LT Pro Light"/>
          <w:sz w:val="22"/>
          <w:szCs w:val="22"/>
        </w:rPr>
        <w:t xml:space="preserve"> un cadre commun de notification ainsi qu’une liste des cas de fuite de données susceptibles de constituer un « haut risque » pour la personne physique. </w:t>
      </w:r>
    </w:p>
    <w:p w14:paraId="2244478E" w14:textId="4F67C19D" w:rsidR="00EE0CCB" w:rsidRDefault="00EE0CCB" w:rsidP="00C657C8">
      <w:pPr>
        <w:pStyle w:val="Paragraphedeliste"/>
        <w:numPr>
          <w:ilvl w:val="0"/>
          <w:numId w:val="1"/>
        </w:numPr>
        <w:jc w:val="both"/>
        <w:rPr>
          <w:rFonts w:ascii="Avenir Next LT Pro Light" w:hAnsi="Avenir Next LT Pro Light"/>
          <w:sz w:val="22"/>
          <w:szCs w:val="22"/>
        </w:rPr>
      </w:pPr>
      <w:r>
        <w:rPr>
          <w:rFonts w:ascii="Avenir Next LT Pro Light" w:hAnsi="Avenir Next LT Pro Light"/>
          <w:sz w:val="22"/>
          <w:szCs w:val="22"/>
        </w:rPr>
        <w:t xml:space="preserve">Alors que le RGPD impose aux responsables de traitement de réaliser une analyse d’impact relative à la protection des données </w:t>
      </w:r>
      <w:r w:rsidRPr="00EE0CCB">
        <w:rPr>
          <w:rFonts w:ascii="Avenir Next LT Pro Light" w:hAnsi="Avenir Next LT Pro Light"/>
          <w:sz w:val="22"/>
          <w:szCs w:val="22"/>
        </w:rPr>
        <w:t>lorsque le traitement de données à caractère personnel est susceptible d’engendrer un risque élevé pour les droits et libertés d’une personne physique</w:t>
      </w:r>
      <w:r>
        <w:rPr>
          <w:rFonts w:ascii="Avenir Next LT Pro Light" w:hAnsi="Avenir Next LT Pro Light"/>
          <w:sz w:val="22"/>
          <w:szCs w:val="22"/>
        </w:rPr>
        <w:t xml:space="preserve">, la Commission proposera une </w:t>
      </w:r>
      <w:r w:rsidRPr="00B65693">
        <w:rPr>
          <w:rFonts w:ascii="Avenir Next LT Pro Light" w:hAnsi="Avenir Next LT Pro Light"/>
          <w:b/>
          <w:bCs/>
          <w:sz w:val="22"/>
          <w:szCs w:val="22"/>
        </w:rPr>
        <w:t>liste unique d’opérations de traitement</w:t>
      </w:r>
      <w:r>
        <w:rPr>
          <w:rFonts w:ascii="Avenir Next LT Pro Light" w:hAnsi="Avenir Next LT Pro Light"/>
          <w:sz w:val="22"/>
          <w:szCs w:val="22"/>
        </w:rPr>
        <w:t xml:space="preserve"> pour harmoniser la compréhension de ce qui constitue un traitement à « haut risque » (en lieu des listes de traitement nationales). </w:t>
      </w:r>
    </w:p>
    <w:p w14:paraId="4E9D463C" w14:textId="77777777" w:rsidR="005C6087" w:rsidRDefault="005C6087" w:rsidP="00260B75">
      <w:pPr>
        <w:spacing w:after="0" w:line="276" w:lineRule="auto"/>
        <w:jc w:val="both"/>
        <w:rPr>
          <w:rFonts w:ascii="Avenir LT Std 65 Medium" w:hAnsi="Avenir LT Std 65 Medium" w:cstheme="minorHAnsi"/>
          <w:color w:val="F59E33"/>
          <w:sz w:val="24"/>
          <w:szCs w:val="24"/>
        </w:rPr>
      </w:pPr>
    </w:p>
    <w:p w14:paraId="29134A90" w14:textId="38983006" w:rsidR="00260B75" w:rsidRDefault="00260B75" w:rsidP="00260B75">
      <w:pPr>
        <w:spacing w:after="0" w:line="276" w:lineRule="auto"/>
        <w:jc w:val="both"/>
        <w:rPr>
          <w:rFonts w:ascii="Avenir LT Std 65 Medium" w:hAnsi="Avenir LT Std 65 Medium" w:cstheme="minorHAnsi"/>
          <w:color w:val="F59E33"/>
          <w:sz w:val="24"/>
          <w:szCs w:val="24"/>
        </w:rPr>
      </w:pPr>
      <w:r>
        <w:rPr>
          <w:rFonts w:ascii="Avenir LT Std 65 Medium" w:hAnsi="Avenir LT Std 65 Medium" w:cstheme="minorHAnsi"/>
          <w:color w:val="F59E33"/>
          <w:sz w:val="24"/>
          <w:szCs w:val="24"/>
        </w:rPr>
        <w:t xml:space="preserve">2 – </w:t>
      </w:r>
      <w:r w:rsidR="00437F95">
        <w:rPr>
          <w:rFonts w:ascii="Avenir LT Std 65 Medium" w:hAnsi="Avenir LT Std 65 Medium" w:cstheme="minorHAnsi"/>
          <w:color w:val="F59E33"/>
          <w:sz w:val="24"/>
          <w:szCs w:val="24"/>
        </w:rPr>
        <w:t>DIRECTIVE NIS 2</w:t>
      </w:r>
      <w:r>
        <w:rPr>
          <w:rFonts w:ascii="Avenir LT Std 65 Medium" w:hAnsi="Avenir LT Std 65 Medium" w:cstheme="minorHAnsi"/>
          <w:color w:val="F59E33"/>
          <w:sz w:val="24"/>
          <w:szCs w:val="24"/>
        </w:rPr>
        <w:t xml:space="preserve">  </w:t>
      </w:r>
    </w:p>
    <w:p w14:paraId="018F509A" w14:textId="77777777" w:rsidR="00C657C8" w:rsidRDefault="00C657C8" w:rsidP="00260B75">
      <w:pPr>
        <w:spacing w:after="0" w:line="276" w:lineRule="auto"/>
        <w:jc w:val="both"/>
        <w:rPr>
          <w:rFonts w:ascii="Avenir LT Std 65 Medium" w:hAnsi="Avenir LT Std 65 Medium" w:cstheme="minorHAnsi"/>
          <w:color w:val="F59E33"/>
          <w:sz w:val="24"/>
          <w:szCs w:val="24"/>
        </w:rPr>
      </w:pPr>
    </w:p>
    <w:p w14:paraId="5A206240" w14:textId="4E287D3F" w:rsidR="00EE0CCB" w:rsidRDefault="00EE0CCB" w:rsidP="00C657C8">
      <w:pPr>
        <w:pStyle w:val="Paragraphedeliste"/>
        <w:numPr>
          <w:ilvl w:val="0"/>
          <w:numId w:val="1"/>
        </w:numPr>
        <w:jc w:val="both"/>
        <w:rPr>
          <w:rFonts w:ascii="Avenir Next LT Pro Light" w:hAnsi="Avenir Next LT Pro Light"/>
          <w:sz w:val="22"/>
          <w:szCs w:val="22"/>
        </w:rPr>
      </w:pPr>
      <w:r>
        <w:rPr>
          <w:rFonts w:ascii="Avenir Next LT Pro Light" w:hAnsi="Avenir Next LT Pro Light"/>
          <w:sz w:val="22"/>
          <w:szCs w:val="22"/>
        </w:rPr>
        <w:t xml:space="preserve">La Commission européenne </w:t>
      </w:r>
      <w:r w:rsidR="009C453E">
        <w:rPr>
          <w:rFonts w:ascii="Avenir Next LT Pro Light" w:hAnsi="Avenir Next LT Pro Light"/>
          <w:sz w:val="22"/>
          <w:szCs w:val="22"/>
        </w:rPr>
        <w:t xml:space="preserve">annonce la publication d’actes d’exécution standardisant le type d’informations, le format et la procédure de notifications d’incident. </w:t>
      </w:r>
    </w:p>
    <w:p w14:paraId="1E8841D1" w14:textId="7E8A4D92" w:rsidR="00C657C8" w:rsidRPr="009C453E" w:rsidRDefault="009C453E" w:rsidP="00C657C8">
      <w:pPr>
        <w:pStyle w:val="Paragraphedeliste"/>
        <w:numPr>
          <w:ilvl w:val="0"/>
          <w:numId w:val="1"/>
        </w:numPr>
        <w:jc w:val="both"/>
        <w:rPr>
          <w:rFonts w:ascii="Avenir Next LT Pro Light" w:hAnsi="Avenir Next LT Pro Light"/>
          <w:sz w:val="22"/>
          <w:szCs w:val="22"/>
        </w:rPr>
      </w:pPr>
      <w:r>
        <w:rPr>
          <w:rFonts w:ascii="Avenir Next LT Pro Light" w:hAnsi="Avenir Next LT Pro Light"/>
          <w:sz w:val="22"/>
          <w:szCs w:val="22"/>
        </w:rPr>
        <w:t xml:space="preserve">Sera par ailleurs créé un </w:t>
      </w:r>
      <w:r w:rsidR="00C657C8" w:rsidRPr="009C453E">
        <w:rPr>
          <w:rFonts w:ascii="Avenir Next LT Pro Light" w:hAnsi="Avenir Next LT Pro Light"/>
          <w:b/>
          <w:bCs/>
          <w:sz w:val="22"/>
          <w:szCs w:val="22"/>
        </w:rPr>
        <w:t>point d’entrée unique à l’échelle européenne</w:t>
      </w:r>
      <w:r w:rsidR="00C657C8" w:rsidRPr="009C453E">
        <w:rPr>
          <w:rFonts w:ascii="Avenir Next LT Pro Light" w:hAnsi="Avenir Next LT Pro Light"/>
          <w:sz w:val="22"/>
          <w:szCs w:val="22"/>
        </w:rPr>
        <w:t xml:space="preserve"> – au sein de l’ENISA</w:t>
      </w:r>
      <w:r>
        <w:rPr>
          <w:rFonts w:ascii="Avenir Next LT Pro Light" w:hAnsi="Avenir Next LT Pro Light"/>
          <w:sz w:val="22"/>
          <w:szCs w:val="22"/>
        </w:rPr>
        <w:t xml:space="preserve"> (Agence européenne en matière de cybersécurité)</w:t>
      </w:r>
      <w:r w:rsidR="00C657C8" w:rsidRPr="009C453E">
        <w:rPr>
          <w:rFonts w:ascii="Avenir Next LT Pro Light" w:hAnsi="Avenir Next LT Pro Light"/>
          <w:sz w:val="22"/>
          <w:szCs w:val="22"/>
        </w:rPr>
        <w:t xml:space="preserve"> – </w:t>
      </w:r>
      <w:r>
        <w:rPr>
          <w:rFonts w:ascii="Avenir Next LT Pro Light" w:hAnsi="Avenir Next LT Pro Light"/>
          <w:sz w:val="22"/>
          <w:szCs w:val="22"/>
        </w:rPr>
        <w:t>concernant</w:t>
      </w:r>
      <w:r w:rsidR="00C657C8" w:rsidRPr="009C453E">
        <w:rPr>
          <w:rFonts w:ascii="Avenir Next LT Pro Light" w:hAnsi="Avenir Next LT Pro Light"/>
          <w:sz w:val="22"/>
          <w:szCs w:val="22"/>
        </w:rPr>
        <w:t xml:space="preserve"> </w:t>
      </w:r>
      <w:r>
        <w:rPr>
          <w:rFonts w:ascii="Avenir Next LT Pro Light" w:hAnsi="Avenir Next LT Pro Light"/>
          <w:sz w:val="22"/>
          <w:szCs w:val="22"/>
        </w:rPr>
        <w:t>l</w:t>
      </w:r>
      <w:r w:rsidR="00C657C8" w:rsidRPr="009C453E">
        <w:rPr>
          <w:rFonts w:ascii="Avenir Next LT Pro Light" w:hAnsi="Avenir Next LT Pro Light"/>
          <w:sz w:val="22"/>
          <w:szCs w:val="22"/>
        </w:rPr>
        <w:t xml:space="preserve">e report d’incident. </w:t>
      </w:r>
      <w:r>
        <w:rPr>
          <w:rFonts w:ascii="Avenir Next LT Pro Light" w:hAnsi="Avenir Next LT Pro Light"/>
          <w:sz w:val="22"/>
          <w:szCs w:val="22"/>
        </w:rPr>
        <w:t xml:space="preserve">La CPME réclamait depuis plusieurs années la création d’une telle entité afin de guider et outiller les PME dans la mise en œuvre de leurs obligations. </w:t>
      </w:r>
    </w:p>
    <w:p w14:paraId="56D88780" w14:textId="1E63ED11" w:rsidR="00C657C8" w:rsidRDefault="00C657C8" w:rsidP="00C657C8">
      <w:pPr>
        <w:spacing w:after="0" w:line="276" w:lineRule="auto"/>
        <w:jc w:val="both"/>
        <w:rPr>
          <w:rFonts w:ascii="Avenir LT Std 65 Medium" w:hAnsi="Avenir LT Std 65 Medium" w:cstheme="minorHAnsi"/>
          <w:color w:val="F59E33"/>
          <w:sz w:val="24"/>
          <w:szCs w:val="24"/>
        </w:rPr>
      </w:pPr>
      <w:r>
        <w:rPr>
          <w:rFonts w:ascii="Avenir LT Std 65 Medium" w:hAnsi="Avenir LT Std 65 Medium" w:cstheme="minorHAnsi"/>
          <w:color w:val="F59E33"/>
          <w:sz w:val="24"/>
          <w:szCs w:val="24"/>
        </w:rPr>
        <w:t>3 – DATA ACT</w:t>
      </w:r>
    </w:p>
    <w:p w14:paraId="529A7935" w14:textId="77777777" w:rsidR="00B65693" w:rsidRDefault="00B65693" w:rsidP="00C657C8">
      <w:pPr>
        <w:spacing w:after="0" w:line="276" w:lineRule="auto"/>
        <w:jc w:val="both"/>
        <w:rPr>
          <w:rFonts w:ascii="Avenir LT Std 65 Medium" w:hAnsi="Avenir LT Std 65 Medium" w:cstheme="minorHAnsi"/>
          <w:color w:val="F59E33"/>
          <w:sz w:val="24"/>
          <w:szCs w:val="24"/>
        </w:rPr>
      </w:pPr>
    </w:p>
    <w:p w14:paraId="4D72DF76" w14:textId="2C737057" w:rsidR="00B65693" w:rsidRPr="00B65693" w:rsidRDefault="00B65693" w:rsidP="00B65693">
      <w:pPr>
        <w:jc w:val="both"/>
        <w:rPr>
          <w:rFonts w:ascii="Avenir Next LT Pro Light" w:hAnsi="Avenir Next LT Pro Light"/>
          <w:i/>
          <w:iCs/>
          <w:kern w:val="2"/>
          <w14:ligatures w14:val="standardContextual"/>
        </w:rPr>
      </w:pPr>
      <w:r w:rsidRPr="00B65693">
        <w:rPr>
          <w:rFonts w:ascii="Avenir Next LT Pro Light" w:hAnsi="Avenir Next LT Pro Light"/>
          <w:i/>
          <w:iCs/>
          <w:kern w:val="2"/>
          <w14:ligatures w14:val="standardContextual"/>
        </w:rPr>
        <w:t xml:space="preserve">Concernant l’obligation de partage des données B2B : </w:t>
      </w:r>
    </w:p>
    <w:p w14:paraId="74768D83" w14:textId="7488C403" w:rsidR="00B65693" w:rsidRDefault="00B65693" w:rsidP="00B65693">
      <w:pPr>
        <w:pStyle w:val="Paragraphedeliste"/>
        <w:numPr>
          <w:ilvl w:val="0"/>
          <w:numId w:val="1"/>
        </w:numPr>
        <w:jc w:val="both"/>
        <w:rPr>
          <w:rFonts w:ascii="Avenir Next LT Pro Light" w:hAnsi="Avenir Next LT Pro Light"/>
          <w:sz w:val="22"/>
          <w:szCs w:val="22"/>
        </w:rPr>
      </w:pPr>
      <w:r>
        <w:rPr>
          <w:rFonts w:ascii="Avenir Next LT Pro Light" w:hAnsi="Avenir Next LT Pro Light"/>
          <w:sz w:val="22"/>
          <w:szCs w:val="22"/>
        </w:rPr>
        <w:t xml:space="preserve">Si la Commission maintient l’obligation par principe pour les grandes entreprises de donner un accès aux données générées </w:t>
      </w:r>
      <w:r w:rsidRPr="00B65693">
        <w:rPr>
          <w:rFonts w:ascii="Avenir Next LT Pro Light" w:hAnsi="Avenir Next LT Pro Light"/>
          <w:sz w:val="22"/>
          <w:szCs w:val="22"/>
        </w:rPr>
        <w:t xml:space="preserve">par l’usage des produits connectés et des services numériques aux PME (acquis majeur du </w:t>
      </w:r>
      <w:r w:rsidRPr="00B65693">
        <w:rPr>
          <w:rFonts w:ascii="Avenir Next LT Pro Light" w:hAnsi="Avenir Next LT Pro Light"/>
          <w:i/>
          <w:iCs/>
          <w:sz w:val="22"/>
          <w:szCs w:val="22"/>
        </w:rPr>
        <w:t>Data Act</w:t>
      </w:r>
      <w:r w:rsidRPr="00B65693">
        <w:rPr>
          <w:rFonts w:ascii="Avenir Next LT Pro Light" w:hAnsi="Avenir Next LT Pro Light"/>
          <w:sz w:val="22"/>
          <w:szCs w:val="22"/>
        </w:rPr>
        <w:t>)</w:t>
      </w:r>
      <w:r>
        <w:rPr>
          <w:rFonts w:ascii="Avenir Next LT Pro Light" w:hAnsi="Avenir Next LT Pro Light"/>
          <w:sz w:val="22"/>
          <w:szCs w:val="22"/>
        </w:rPr>
        <w:t xml:space="preserve">, elle y apporte une exemption majeure. Les détenteurs de données pourront désormais refuser la communication de données à un utilisateur </w:t>
      </w:r>
      <w:r w:rsidRPr="00B65693">
        <w:rPr>
          <w:rFonts w:ascii="Avenir Next LT Pro Light" w:hAnsi="Avenir Next LT Pro Light"/>
          <w:b/>
          <w:bCs/>
          <w:sz w:val="22"/>
          <w:szCs w:val="22"/>
        </w:rPr>
        <w:t>lorsqu’il existe un risque élevé d’acquisition, d’utilisation ou de divulgation illicite à des pays tiers ou à des entités placées sous leur contrôle</w:t>
      </w:r>
      <w:r>
        <w:rPr>
          <w:rFonts w:ascii="Avenir Next LT Pro Light" w:hAnsi="Avenir Next LT Pro Light"/>
          <w:sz w:val="22"/>
          <w:szCs w:val="22"/>
        </w:rPr>
        <w:t xml:space="preserve">, relevant de juridictions offrant des garanties de protection plus faibles que celles disponibles dans l’UE. </w:t>
      </w:r>
    </w:p>
    <w:p w14:paraId="21B85EDB" w14:textId="77777777" w:rsidR="000600C5" w:rsidRPr="000600C5" w:rsidRDefault="000600C5" w:rsidP="000600C5">
      <w:pPr>
        <w:pStyle w:val="Paragraphedeliste"/>
        <w:jc w:val="both"/>
        <w:rPr>
          <w:rFonts w:ascii="Avenir Next LT Pro Light" w:hAnsi="Avenir Next LT Pro Light"/>
          <w:sz w:val="22"/>
          <w:szCs w:val="22"/>
        </w:rPr>
      </w:pPr>
    </w:p>
    <w:p w14:paraId="029728DB" w14:textId="2993EDEB" w:rsidR="00B65693" w:rsidRPr="00B65693" w:rsidRDefault="00B65693" w:rsidP="00B65693">
      <w:pPr>
        <w:jc w:val="both"/>
        <w:rPr>
          <w:rFonts w:ascii="Avenir Next LT Pro Light" w:hAnsi="Avenir Next LT Pro Light"/>
          <w:i/>
          <w:iCs/>
          <w:kern w:val="2"/>
          <w14:ligatures w14:val="standardContextual"/>
        </w:rPr>
      </w:pPr>
      <w:r w:rsidRPr="00B65693">
        <w:rPr>
          <w:rFonts w:ascii="Avenir Next LT Pro Light" w:hAnsi="Avenir Next LT Pro Light"/>
          <w:i/>
          <w:iCs/>
          <w:kern w:val="2"/>
          <w14:ligatures w14:val="standardContextual"/>
        </w:rPr>
        <w:t xml:space="preserve">Concernant </w:t>
      </w:r>
      <w:r>
        <w:rPr>
          <w:rFonts w:ascii="Avenir Next LT Pro Light" w:hAnsi="Avenir Next LT Pro Light"/>
          <w:i/>
          <w:iCs/>
          <w:kern w:val="2"/>
          <w14:ligatures w14:val="standardContextual"/>
        </w:rPr>
        <w:t xml:space="preserve">l’obligation de switching pour les PME du cloud : </w:t>
      </w:r>
      <w:r w:rsidRPr="00B65693">
        <w:rPr>
          <w:rFonts w:ascii="Avenir Next LT Pro Light" w:hAnsi="Avenir Next LT Pro Light"/>
          <w:i/>
          <w:iCs/>
          <w:kern w:val="2"/>
          <w14:ligatures w14:val="standardContextual"/>
        </w:rPr>
        <w:t xml:space="preserve"> </w:t>
      </w:r>
    </w:p>
    <w:p w14:paraId="7C6BA05F" w14:textId="39781FCB" w:rsidR="00B65693" w:rsidRDefault="00B65693" w:rsidP="00B65693">
      <w:pPr>
        <w:pStyle w:val="Paragraphedeliste"/>
        <w:numPr>
          <w:ilvl w:val="0"/>
          <w:numId w:val="1"/>
        </w:numPr>
        <w:jc w:val="both"/>
        <w:rPr>
          <w:rFonts w:ascii="Avenir Next LT Pro Light" w:hAnsi="Avenir Next LT Pro Light"/>
          <w:sz w:val="22"/>
          <w:szCs w:val="22"/>
        </w:rPr>
      </w:pPr>
      <w:r w:rsidRPr="00B65693">
        <w:rPr>
          <w:rFonts w:ascii="Avenir Next LT Pro Light" w:hAnsi="Avenir Next LT Pro Light"/>
          <w:sz w:val="22"/>
          <w:szCs w:val="22"/>
        </w:rPr>
        <w:t>Le Data Act impose aux fournisseurs de services cloud de permettre à leurs utilisateurs de changer facilement de prestataire — ou de revenir à une solution interne — en garantissant la portabilité des données, l’interopérabilité technique et la réduction progressive des frais de transfert</w:t>
      </w:r>
      <w:r>
        <w:rPr>
          <w:rFonts w:ascii="Avenir Next LT Pro Light" w:hAnsi="Avenir Next LT Pro Light"/>
          <w:sz w:val="22"/>
          <w:szCs w:val="22"/>
        </w:rPr>
        <w:t>. A l’avenir, les PME et ETI fournissant des services SaaS (logiciel en tant que service) ou PaaS (plateforme en tant que service) :</w:t>
      </w:r>
    </w:p>
    <w:p w14:paraId="7C0713A0" w14:textId="2A7DF61B" w:rsidR="00B65693" w:rsidRDefault="00B65693" w:rsidP="00B65693">
      <w:pPr>
        <w:pStyle w:val="Paragraphedeliste"/>
        <w:numPr>
          <w:ilvl w:val="1"/>
          <w:numId w:val="1"/>
        </w:numPr>
        <w:jc w:val="both"/>
        <w:rPr>
          <w:rFonts w:ascii="Avenir Next LT Pro Light" w:hAnsi="Avenir Next LT Pro Light"/>
          <w:sz w:val="22"/>
          <w:szCs w:val="22"/>
        </w:rPr>
      </w:pPr>
      <w:r>
        <w:rPr>
          <w:rFonts w:ascii="Avenir Next LT Pro Light" w:hAnsi="Avenir Next LT Pro Light"/>
          <w:sz w:val="22"/>
          <w:szCs w:val="22"/>
        </w:rPr>
        <w:lastRenderedPageBreak/>
        <w:t>Seront exemptées de cette obligation si le contrat est conclu avec l’utilisateur avant le 12 septembre 2025,</w:t>
      </w:r>
    </w:p>
    <w:p w14:paraId="6AF0C0CC" w14:textId="4E68A511" w:rsidR="00B65693" w:rsidRDefault="00B65693" w:rsidP="00B65693">
      <w:pPr>
        <w:pStyle w:val="Paragraphedeliste"/>
        <w:numPr>
          <w:ilvl w:val="1"/>
          <w:numId w:val="1"/>
        </w:numPr>
        <w:jc w:val="both"/>
        <w:rPr>
          <w:rFonts w:ascii="Avenir Next LT Pro Light" w:hAnsi="Avenir Next LT Pro Light"/>
          <w:sz w:val="22"/>
          <w:szCs w:val="22"/>
        </w:rPr>
      </w:pPr>
      <w:r>
        <w:rPr>
          <w:rFonts w:ascii="Avenir Next LT Pro Light" w:hAnsi="Avenir Next LT Pro Light"/>
          <w:sz w:val="22"/>
          <w:szCs w:val="22"/>
        </w:rPr>
        <w:t xml:space="preserve">Ne seront plus obligées de renégocier ou modifier les contrats existants avant leur expiration, </w:t>
      </w:r>
    </w:p>
    <w:p w14:paraId="4995F3D9" w14:textId="18A61A9E" w:rsidR="00C657C8" w:rsidRDefault="00B65693" w:rsidP="00C657C8">
      <w:pPr>
        <w:pStyle w:val="Paragraphedeliste"/>
        <w:numPr>
          <w:ilvl w:val="1"/>
          <w:numId w:val="1"/>
        </w:numPr>
        <w:jc w:val="both"/>
        <w:rPr>
          <w:rFonts w:ascii="Avenir Next LT Pro Light" w:hAnsi="Avenir Next LT Pro Light"/>
          <w:sz w:val="22"/>
          <w:szCs w:val="22"/>
        </w:rPr>
      </w:pPr>
      <w:r>
        <w:rPr>
          <w:rFonts w:ascii="Avenir Next LT Pro Light" w:hAnsi="Avenir Next LT Pro Light"/>
          <w:sz w:val="22"/>
          <w:szCs w:val="22"/>
        </w:rPr>
        <w:t xml:space="preserve">Pourront inclure des pénalités de résiliation anticipée proportionnées pour compenser les investissements initiaux. </w:t>
      </w:r>
    </w:p>
    <w:p w14:paraId="4121B773" w14:textId="77777777" w:rsidR="00B65693" w:rsidRPr="00B65693" w:rsidRDefault="00B65693" w:rsidP="00B65693">
      <w:pPr>
        <w:pStyle w:val="Paragraphedeliste"/>
        <w:ind w:left="1440"/>
        <w:jc w:val="both"/>
        <w:rPr>
          <w:rFonts w:ascii="Avenir Next LT Pro Light" w:hAnsi="Avenir Next LT Pro Light"/>
          <w:sz w:val="22"/>
          <w:szCs w:val="22"/>
        </w:rPr>
      </w:pPr>
    </w:p>
    <w:p w14:paraId="29633340" w14:textId="234D0F8A" w:rsidR="00C657C8" w:rsidRDefault="00C657C8" w:rsidP="00C657C8">
      <w:pPr>
        <w:spacing w:after="0" w:line="276" w:lineRule="auto"/>
        <w:jc w:val="both"/>
        <w:rPr>
          <w:rFonts w:ascii="Avenir LT Std 65 Medium" w:hAnsi="Avenir LT Std 65 Medium" w:cstheme="minorHAnsi"/>
          <w:color w:val="F59E33"/>
          <w:sz w:val="24"/>
          <w:szCs w:val="24"/>
        </w:rPr>
      </w:pPr>
      <w:r>
        <w:rPr>
          <w:rFonts w:ascii="Avenir LT Std 65 Medium" w:hAnsi="Avenir LT Std 65 Medium" w:cstheme="minorHAnsi"/>
          <w:color w:val="F59E33"/>
          <w:sz w:val="24"/>
          <w:szCs w:val="24"/>
        </w:rPr>
        <w:t>4 – AI ACT</w:t>
      </w:r>
    </w:p>
    <w:p w14:paraId="2B1CF850" w14:textId="77777777" w:rsidR="00C657C8" w:rsidRDefault="00C657C8" w:rsidP="00C657C8">
      <w:pPr>
        <w:spacing w:after="0" w:line="276" w:lineRule="auto"/>
        <w:jc w:val="both"/>
        <w:rPr>
          <w:rFonts w:ascii="Avenir LT Std 65 Medium" w:hAnsi="Avenir LT Std 65 Medium" w:cstheme="minorHAnsi"/>
          <w:color w:val="F59E33"/>
          <w:sz w:val="24"/>
          <w:szCs w:val="24"/>
        </w:rPr>
      </w:pPr>
    </w:p>
    <w:p w14:paraId="723FC812" w14:textId="51726AC9" w:rsidR="007666FC" w:rsidRDefault="007666FC" w:rsidP="00C657C8">
      <w:pPr>
        <w:jc w:val="both"/>
        <w:rPr>
          <w:rFonts w:ascii="Avenir Next LT Pro Light" w:hAnsi="Avenir Next LT Pro Light"/>
          <w:kern w:val="2"/>
          <w14:ligatures w14:val="standardContextual"/>
        </w:rPr>
      </w:pPr>
      <w:r>
        <w:rPr>
          <w:rFonts w:ascii="Avenir Next LT Pro Light" w:hAnsi="Avenir Next LT Pro Light"/>
          <w:kern w:val="2"/>
          <w14:ligatures w14:val="standardContextual"/>
        </w:rPr>
        <w:t xml:space="preserve">Si la Commission présente plusieurs modifications d’importance à l’AI Act comme le report de plusieurs dates butoirs pour les modèles d’IA à « haut risque », dans l’attente de la publication de standards, de spécifications communes et de lignes directrices, peu d’entre elles concernent directement les PME (si ce n’est celles qui développent des modèles d’IA en propre). </w:t>
      </w:r>
    </w:p>
    <w:p w14:paraId="7EFDD364" w14:textId="2CCE9AF4" w:rsidR="007666FC" w:rsidRDefault="007666FC" w:rsidP="007666FC">
      <w:pPr>
        <w:pStyle w:val="Paragraphedeliste"/>
        <w:numPr>
          <w:ilvl w:val="0"/>
          <w:numId w:val="1"/>
        </w:numPr>
        <w:jc w:val="both"/>
        <w:rPr>
          <w:rFonts w:ascii="Avenir Next LT Pro Light" w:hAnsi="Avenir Next LT Pro Light"/>
          <w:sz w:val="22"/>
          <w:szCs w:val="22"/>
        </w:rPr>
      </w:pPr>
      <w:r w:rsidRPr="007666FC">
        <w:rPr>
          <w:rFonts w:ascii="Avenir Next LT Pro Light" w:hAnsi="Avenir Next LT Pro Light"/>
          <w:sz w:val="22"/>
          <w:szCs w:val="22"/>
        </w:rPr>
        <w:t xml:space="preserve">A noter </w:t>
      </w:r>
      <w:r w:rsidR="00EA112A" w:rsidRPr="007666FC">
        <w:rPr>
          <w:rFonts w:ascii="Avenir Next LT Pro Light" w:hAnsi="Avenir Next LT Pro Light"/>
          <w:sz w:val="22"/>
          <w:szCs w:val="22"/>
        </w:rPr>
        <w:t>cependant l’extension</w:t>
      </w:r>
      <w:r w:rsidRPr="007666FC">
        <w:rPr>
          <w:rFonts w:ascii="Avenir Next LT Pro Light" w:hAnsi="Avenir Next LT Pro Light"/>
          <w:sz w:val="22"/>
          <w:szCs w:val="22"/>
        </w:rPr>
        <w:t xml:space="preserve"> de la majeure partie des exemptions PME aux ETI</w:t>
      </w:r>
      <w:r w:rsidR="00EA112A">
        <w:rPr>
          <w:rFonts w:ascii="Avenir Next LT Pro Light" w:hAnsi="Avenir Next LT Pro Light"/>
          <w:sz w:val="22"/>
          <w:szCs w:val="22"/>
        </w:rPr>
        <w:t xml:space="preserve">. </w:t>
      </w:r>
    </w:p>
    <w:p w14:paraId="4AEDF1EF" w14:textId="165DDA4E" w:rsidR="00EA112A" w:rsidRPr="007666FC" w:rsidRDefault="00EA112A" w:rsidP="007666FC">
      <w:pPr>
        <w:pStyle w:val="Paragraphedeliste"/>
        <w:numPr>
          <w:ilvl w:val="0"/>
          <w:numId w:val="1"/>
        </w:numPr>
        <w:jc w:val="both"/>
        <w:rPr>
          <w:rFonts w:ascii="Avenir Next LT Pro Light" w:hAnsi="Avenir Next LT Pro Light"/>
          <w:sz w:val="22"/>
          <w:szCs w:val="22"/>
        </w:rPr>
      </w:pPr>
      <w:r>
        <w:rPr>
          <w:rFonts w:ascii="Avenir Next LT Pro Light" w:hAnsi="Avenir Next LT Pro Light"/>
          <w:sz w:val="22"/>
          <w:szCs w:val="22"/>
        </w:rPr>
        <w:t>Par ailleurs</w:t>
      </w:r>
      <w:r w:rsidR="00307A63">
        <w:rPr>
          <w:rFonts w:ascii="Avenir Next LT Pro Light" w:hAnsi="Avenir Next LT Pro Light"/>
          <w:sz w:val="22"/>
          <w:szCs w:val="22"/>
        </w:rPr>
        <w:t>,</w:t>
      </w:r>
      <w:r>
        <w:rPr>
          <w:rFonts w:ascii="Avenir Next LT Pro Light" w:hAnsi="Avenir Next LT Pro Light"/>
          <w:sz w:val="22"/>
          <w:szCs w:val="22"/>
        </w:rPr>
        <w:t xml:space="preserve"> l</w:t>
      </w:r>
      <w:r w:rsidRPr="00EA112A">
        <w:rPr>
          <w:rFonts w:ascii="Avenir Next LT Pro Light" w:hAnsi="Avenir Next LT Pro Light"/>
          <w:sz w:val="22"/>
          <w:szCs w:val="22"/>
        </w:rPr>
        <w:t xml:space="preserve">’article 4 </w:t>
      </w:r>
      <w:r>
        <w:rPr>
          <w:rFonts w:ascii="Avenir Next LT Pro Light" w:hAnsi="Avenir Next LT Pro Light"/>
          <w:sz w:val="22"/>
          <w:szCs w:val="22"/>
        </w:rPr>
        <w:t>de l’AI Act</w:t>
      </w:r>
      <w:r w:rsidRPr="00EA112A">
        <w:rPr>
          <w:rFonts w:ascii="Avenir Next LT Pro Light" w:hAnsi="Avenir Next LT Pro Light"/>
          <w:sz w:val="22"/>
          <w:szCs w:val="22"/>
        </w:rPr>
        <w:t xml:space="preserve"> imposait initialement à toutes les entreprises de former leur personnel à l’IA, ce qui pouvait représenter une charge importante, surtout pour les PME. </w:t>
      </w:r>
      <w:r>
        <w:rPr>
          <w:rFonts w:ascii="Avenir Next LT Pro Light" w:hAnsi="Avenir Next LT Pro Light"/>
          <w:sz w:val="22"/>
          <w:szCs w:val="22"/>
        </w:rPr>
        <w:t>La Commission</w:t>
      </w:r>
      <w:r w:rsidRPr="00EA112A">
        <w:rPr>
          <w:rFonts w:ascii="Avenir Next LT Pro Light" w:hAnsi="Avenir Next LT Pro Light"/>
          <w:sz w:val="22"/>
          <w:szCs w:val="22"/>
        </w:rPr>
        <w:t xml:space="preserve"> propose de remplacer cette obligation par une approche volontaire : la Commission et les États membres encourageront les entreprises à développer les compétences en IA de leurs équipes via des formations, des ressources et des échanges de bonnes pratiques, sans créer de contrainte réglementaire directe.</w:t>
      </w:r>
    </w:p>
    <w:p w14:paraId="4845EA48" w14:textId="77777777" w:rsidR="00C657C8" w:rsidRPr="00C657C8" w:rsidRDefault="00C657C8" w:rsidP="00C657C8">
      <w:pPr>
        <w:spacing w:after="0" w:line="276" w:lineRule="auto"/>
        <w:jc w:val="both"/>
        <w:rPr>
          <w:rFonts w:ascii="Avenir Next LT Pro Light" w:hAnsi="Avenir Next LT Pro Light"/>
        </w:rPr>
      </w:pPr>
    </w:p>
    <w:sectPr w:rsidR="00C657C8" w:rsidRPr="00C657C8">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0A1D7" w14:textId="77777777" w:rsidR="00437F95" w:rsidRDefault="00437F95" w:rsidP="00437F95">
      <w:pPr>
        <w:spacing w:after="0" w:line="240" w:lineRule="auto"/>
      </w:pPr>
      <w:r>
        <w:separator/>
      </w:r>
    </w:p>
  </w:endnote>
  <w:endnote w:type="continuationSeparator" w:id="0">
    <w:p w14:paraId="54D4BE0D" w14:textId="77777777" w:rsidR="00437F95" w:rsidRDefault="00437F95" w:rsidP="00437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Next LT Pro Light">
    <w:charset w:val="00"/>
    <w:family w:val="swiss"/>
    <w:pitch w:val="variable"/>
    <w:sig w:usb0="A00000EF" w:usb1="5000204B" w:usb2="00000000" w:usb3="00000000" w:csb0="00000093" w:csb1="00000000"/>
  </w:font>
  <w:font w:name="Aptos Display">
    <w:charset w:val="00"/>
    <w:family w:val="swiss"/>
    <w:pitch w:val="variable"/>
    <w:sig w:usb0="20000287" w:usb1="00000003" w:usb2="00000000" w:usb3="00000000" w:csb0="0000019F" w:csb1="00000000"/>
  </w:font>
  <w:font w:name="Avenir LT Std 35 Light">
    <w:panose1 w:val="020B0402020203020204"/>
    <w:charset w:val="00"/>
    <w:family w:val="swiss"/>
    <w:notTrueType/>
    <w:pitch w:val="variable"/>
    <w:sig w:usb0="800000AF" w:usb1="4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Avenir LT Std 65 Medium">
    <w:panose1 w:val="020B08030202030202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2456489"/>
      <w:docPartObj>
        <w:docPartGallery w:val="Page Numbers (Bottom of Page)"/>
        <w:docPartUnique/>
      </w:docPartObj>
    </w:sdtPr>
    <w:sdtEndPr/>
    <w:sdtContent>
      <w:sdt>
        <w:sdtPr>
          <w:rPr>
            <w:rFonts w:ascii="Avenir Next LT Pro Light" w:hAnsi="Avenir Next LT Pro Light"/>
            <w:sz w:val="20"/>
            <w:szCs w:val="20"/>
          </w:rPr>
          <w:id w:val="-1828971588"/>
          <w:docPartObj>
            <w:docPartGallery w:val="Page Numbers (Bottom of Page)"/>
            <w:docPartUnique/>
          </w:docPartObj>
        </w:sdtPr>
        <w:sdtEndPr/>
        <w:sdtContent>
          <w:p w14:paraId="60F41F6E" w14:textId="77777777" w:rsidR="000600C5" w:rsidRDefault="000600C5" w:rsidP="00437F95">
            <w:pPr>
              <w:pStyle w:val="Pieddepage"/>
              <w:rPr>
                <w:rFonts w:ascii="Avenir Next LT Pro Light" w:hAnsi="Avenir Next LT Pro Light"/>
                <w:sz w:val="20"/>
                <w:szCs w:val="20"/>
              </w:rPr>
            </w:pPr>
          </w:p>
          <w:p w14:paraId="792122C0" w14:textId="21D0C3CC" w:rsidR="00437F95" w:rsidRPr="00994E18" w:rsidRDefault="00437F95" w:rsidP="00437F95">
            <w:pPr>
              <w:pStyle w:val="Pieddepage"/>
              <w:rPr>
                <w:rFonts w:ascii="Avenir Next LT Pro Light" w:hAnsi="Avenir Next LT Pro Light"/>
                <w:sz w:val="20"/>
                <w:szCs w:val="20"/>
              </w:rPr>
            </w:pPr>
            <w:r w:rsidRPr="00994E18">
              <w:rPr>
                <w:rFonts w:ascii="Avenir Next LT Pro Light" w:hAnsi="Avenir Next LT Pro Light"/>
                <w:color w:val="114D61"/>
                <w:sz w:val="18"/>
                <w:szCs w:val="18"/>
              </w:rPr>
              <w:t>Direction des Affaires européennes et internationales</w:t>
            </w:r>
            <w:r>
              <w:rPr>
                <w:rFonts w:ascii="Avenir Next LT Pro Light" w:hAnsi="Avenir Next LT Pro Light"/>
                <w:color w:val="114D61"/>
                <w:sz w:val="18"/>
                <w:szCs w:val="18"/>
              </w:rPr>
              <w:t xml:space="preserve">                                                                                           </w:t>
            </w:r>
            <w:r w:rsidRPr="00994E18">
              <w:rPr>
                <w:rFonts w:ascii="Avenir Next LT Pro Light" w:hAnsi="Avenir Next LT Pro Light"/>
                <w:sz w:val="18"/>
                <w:szCs w:val="18"/>
              </w:rPr>
              <w:t xml:space="preserve">Page | </w:t>
            </w:r>
            <w:r w:rsidRPr="00994E18">
              <w:rPr>
                <w:rFonts w:ascii="Avenir Next LT Pro Light" w:hAnsi="Avenir Next LT Pro Light"/>
                <w:sz w:val="18"/>
                <w:szCs w:val="18"/>
              </w:rPr>
              <w:fldChar w:fldCharType="begin"/>
            </w:r>
            <w:r w:rsidRPr="00994E18">
              <w:rPr>
                <w:rFonts w:ascii="Avenir Next LT Pro Light" w:hAnsi="Avenir Next LT Pro Light"/>
                <w:sz w:val="18"/>
                <w:szCs w:val="18"/>
              </w:rPr>
              <w:instrText>PAGE   \* MERGEFORMAT</w:instrText>
            </w:r>
            <w:r w:rsidRPr="00994E18">
              <w:rPr>
                <w:rFonts w:ascii="Avenir Next LT Pro Light" w:hAnsi="Avenir Next LT Pro Light"/>
                <w:sz w:val="18"/>
                <w:szCs w:val="18"/>
              </w:rPr>
              <w:fldChar w:fldCharType="separate"/>
            </w:r>
            <w:r>
              <w:rPr>
                <w:rFonts w:ascii="Avenir Next LT Pro Light" w:hAnsi="Avenir Next LT Pro Light"/>
                <w:sz w:val="18"/>
                <w:szCs w:val="18"/>
              </w:rPr>
              <w:t>1</w:t>
            </w:r>
            <w:r w:rsidRPr="00994E18">
              <w:rPr>
                <w:rFonts w:ascii="Avenir Next LT Pro Light" w:hAnsi="Avenir Next LT Pro Light"/>
                <w:sz w:val="18"/>
                <w:szCs w:val="18"/>
              </w:rPr>
              <w:fldChar w:fldCharType="end"/>
            </w:r>
          </w:p>
          <w:p w14:paraId="073F21C1" w14:textId="77777777" w:rsidR="00437F95" w:rsidRPr="00994E18" w:rsidRDefault="00437F95" w:rsidP="00437F95">
            <w:pPr>
              <w:pStyle w:val="Pieddepage"/>
              <w:rPr>
                <w:rFonts w:ascii="Avenir Next LT Pro Light" w:hAnsi="Avenir Next LT Pro Light"/>
                <w:sz w:val="20"/>
                <w:szCs w:val="20"/>
              </w:rPr>
            </w:pPr>
            <w:r w:rsidRPr="00994E18">
              <w:rPr>
                <w:rFonts w:ascii="Avenir Next LT Pro Light" w:hAnsi="Avenir Next LT Pro Light"/>
                <w:sz w:val="16"/>
                <w:szCs w:val="16"/>
              </w:rPr>
              <w:t>Numéro d’identification au registre de transparence de l’UE : 74081206759-11</w:t>
            </w:r>
          </w:p>
        </w:sdtContent>
      </w:sdt>
      <w:p w14:paraId="1BFEA249" w14:textId="77777777" w:rsidR="00437F95" w:rsidRDefault="00307A63" w:rsidP="00437F95">
        <w:pPr>
          <w:pStyle w:val="Pieddepage"/>
          <w:jc w:val="both"/>
        </w:pPr>
      </w:p>
    </w:sdtContent>
  </w:sdt>
  <w:p w14:paraId="7E1C07B0" w14:textId="77777777" w:rsidR="00437F95" w:rsidRDefault="00437F9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B3323" w14:textId="77777777" w:rsidR="00437F95" w:rsidRDefault="00437F95" w:rsidP="00437F95">
      <w:pPr>
        <w:spacing w:after="0" w:line="240" w:lineRule="auto"/>
      </w:pPr>
      <w:r>
        <w:separator/>
      </w:r>
    </w:p>
  </w:footnote>
  <w:footnote w:type="continuationSeparator" w:id="0">
    <w:p w14:paraId="741B60E9" w14:textId="77777777" w:rsidR="00437F95" w:rsidRDefault="00437F95" w:rsidP="00437F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E2BE5"/>
    <w:multiLevelType w:val="hybridMultilevel"/>
    <w:tmpl w:val="7F265FA8"/>
    <w:lvl w:ilvl="0" w:tplc="485A2FC8">
      <w:numFmt w:val="bullet"/>
      <w:lvlText w:val="-"/>
      <w:lvlJc w:val="left"/>
      <w:pPr>
        <w:ind w:left="720" w:hanging="360"/>
      </w:pPr>
      <w:rPr>
        <w:rFonts w:ascii="Aptos" w:eastAsia="Aptos" w:hAnsi="Apto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52C773B1"/>
    <w:multiLevelType w:val="hybridMultilevel"/>
    <w:tmpl w:val="7430F0DC"/>
    <w:lvl w:ilvl="0" w:tplc="8C14677C">
      <w:numFmt w:val="bullet"/>
      <w:lvlText w:val="-"/>
      <w:lvlJc w:val="left"/>
      <w:pPr>
        <w:ind w:left="720" w:hanging="360"/>
      </w:pPr>
      <w:rPr>
        <w:rFonts w:ascii="Avenir Next LT Pro Light" w:eastAsiaTheme="minorHAnsi" w:hAnsi="Avenir Next LT Pro Light"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95680082">
    <w:abstractNumId w:val="1"/>
  </w:num>
  <w:num w:numId="2" w16cid:durableId="498158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827"/>
    <w:rsid w:val="000307AC"/>
    <w:rsid w:val="000600C5"/>
    <w:rsid w:val="00061CCF"/>
    <w:rsid w:val="00113580"/>
    <w:rsid w:val="001229E0"/>
    <w:rsid w:val="00126142"/>
    <w:rsid w:val="00197792"/>
    <w:rsid w:val="001F6AB6"/>
    <w:rsid w:val="00231C81"/>
    <w:rsid w:val="00232A81"/>
    <w:rsid w:val="00260B75"/>
    <w:rsid w:val="00307A63"/>
    <w:rsid w:val="00315436"/>
    <w:rsid w:val="00344696"/>
    <w:rsid w:val="00370E39"/>
    <w:rsid w:val="0038013F"/>
    <w:rsid w:val="003C3E9C"/>
    <w:rsid w:val="00430F4E"/>
    <w:rsid w:val="00437F95"/>
    <w:rsid w:val="005000F1"/>
    <w:rsid w:val="00532BCC"/>
    <w:rsid w:val="005A12C4"/>
    <w:rsid w:val="005C6087"/>
    <w:rsid w:val="005C61B4"/>
    <w:rsid w:val="005D198F"/>
    <w:rsid w:val="005D4067"/>
    <w:rsid w:val="00685134"/>
    <w:rsid w:val="006A3CF2"/>
    <w:rsid w:val="006D1564"/>
    <w:rsid w:val="006F5609"/>
    <w:rsid w:val="007666FC"/>
    <w:rsid w:val="007C7FF6"/>
    <w:rsid w:val="007E1E25"/>
    <w:rsid w:val="00880A20"/>
    <w:rsid w:val="008862C1"/>
    <w:rsid w:val="008B400C"/>
    <w:rsid w:val="008E0745"/>
    <w:rsid w:val="00960823"/>
    <w:rsid w:val="00974189"/>
    <w:rsid w:val="009C453E"/>
    <w:rsid w:val="009C519C"/>
    <w:rsid w:val="009F3EF1"/>
    <w:rsid w:val="00A132B4"/>
    <w:rsid w:val="00A949ED"/>
    <w:rsid w:val="00AB7CD0"/>
    <w:rsid w:val="00B0578F"/>
    <w:rsid w:val="00B136A4"/>
    <w:rsid w:val="00B26D10"/>
    <w:rsid w:val="00B512DA"/>
    <w:rsid w:val="00B65693"/>
    <w:rsid w:val="00B90DC1"/>
    <w:rsid w:val="00BB5F75"/>
    <w:rsid w:val="00BC2088"/>
    <w:rsid w:val="00BD56CD"/>
    <w:rsid w:val="00C45EDC"/>
    <w:rsid w:val="00C657C8"/>
    <w:rsid w:val="00CD15F6"/>
    <w:rsid w:val="00D31114"/>
    <w:rsid w:val="00D57C4C"/>
    <w:rsid w:val="00D80CDD"/>
    <w:rsid w:val="00DB6E3A"/>
    <w:rsid w:val="00E3747E"/>
    <w:rsid w:val="00E46BED"/>
    <w:rsid w:val="00E6084B"/>
    <w:rsid w:val="00E82827"/>
    <w:rsid w:val="00EA112A"/>
    <w:rsid w:val="00EB0ED3"/>
    <w:rsid w:val="00EE0CCB"/>
    <w:rsid w:val="00F07937"/>
    <w:rsid w:val="00F6407C"/>
    <w:rsid w:val="00F719A7"/>
    <w:rsid w:val="00FF7A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DA3FA"/>
  <w15:chartTrackingRefBased/>
  <w15:docId w15:val="{D588DAA4-CB3C-4E05-99CE-E0D15B5E4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827"/>
    <w:pPr>
      <w:spacing w:line="259" w:lineRule="auto"/>
    </w:pPr>
    <w:rPr>
      <w:kern w:val="0"/>
      <w:sz w:val="22"/>
      <w:szCs w:val="22"/>
      <w14:ligatures w14:val="none"/>
    </w:rPr>
  </w:style>
  <w:style w:type="paragraph" w:styleId="Titre1">
    <w:name w:val="heading 1"/>
    <w:basedOn w:val="Normal"/>
    <w:next w:val="Normal"/>
    <w:link w:val="Titre1Car"/>
    <w:uiPriority w:val="9"/>
    <w:qFormat/>
    <w:rsid w:val="00E8282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itre2">
    <w:name w:val="heading 2"/>
    <w:basedOn w:val="Normal"/>
    <w:next w:val="Normal"/>
    <w:link w:val="Titre2Car"/>
    <w:uiPriority w:val="9"/>
    <w:unhideWhenUsed/>
    <w:qFormat/>
    <w:rsid w:val="00E8282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itre3">
    <w:name w:val="heading 3"/>
    <w:basedOn w:val="Normal"/>
    <w:next w:val="Normal"/>
    <w:link w:val="Titre3Car"/>
    <w:uiPriority w:val="9"/>
    <w:unhideWhenUsed/>
    <w:qFormat/>
    <w:rsid w:val="00E82827"/>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Titre4">
    <w:name w:val="heading 4"/>
    <w:basedOn w:val="Normal"/>
    <w:next w:val="Normal"/>
    <w:link w:val="Titre4Car"/>
    <w:uiPriority w:val="9"/>
    <w:semiHidden/>
    <w:unhideWhenUsed/>
    <w:qFormat/>
    <w:rsid w:val="00E82827"/>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Titre5">
    <w:name w:val="heading 5"/>
    <w:basedOn w:val="Normal"/>
    <w:next w:val="Normal"/>
    <w:link w:val="Titre5Car"/>
    <w:uiPriority w:val="9"/>
    <w:semiHidden/>
    <w:unhideWhenUsed/>
    <w:qFormat/>
    <w:rsid w:val="00E82827"/>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Titre6">
    <w:name w:val="heading 6"/>
    <w:basedOn w:val="Normal"/>
    <w:next w:val="Normal"/>
    <w:link w:val="Titre6Car"/>
    <w:uiPriority w:val="9"/>
    <w:semiHidden/>
    <w:unhideWhenUsed/>
    <w:qFormat/>
    <w:rsid w:val="00E82827"/>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Titre7">
    <w:name w:val="heading 7"/>
    <w:basedOn w:val="Normal"/>
    <w:next w:val="Normal"/>
    <w:link w:val="Titre7Car"/>
    <w:uiPriority w:val="9"/>
    <w:semiHidden/>
    <w:unhideWhenUsed/>
    <w:qFormat/>
    <w:rsid w:val="00E82827"/>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Titre8">
    <w:name w:val="heading 8"/>
    <w:basedOn w:val="Normal"/>
    <w:next w:val="Normal"/>
    <w:link w:val="Titre8Car"/>
    <w:uiPriority w:val="9"/>
    <w:semiHidden/>
    <w:unhideWhenUsed/>
    <w:qFormat/>
    <w:rsid w:val="00E82827"/>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Titre9">
    <w:name w:val="heading 9"/>
    <w:basedOn w:val="Normal"/>
    <w:next w:val="Normal"/>
    <w:link w:val="Titre9Car"/>
    <w:uiPriority w:val="9"/>
    <w:semiHidden/>
    <w:unhideWhenUsed/>
    <w:qFormat/>
    <w:rsid w:val="00E82827"/>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8282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E8282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E8282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8282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8282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8282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8282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8282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82827"/>
    <w:rPr>
      <w:rFonts w:eastAsiaTheme="majorEastAsia" w:cstheme="majorBidi"/>
      <w:color w:val="272727" w:themeColor="text1" w:themeTint="D8"/>
    </w:rPr>
  </w:style>
  <w:style w:type="paragraph" w:styleId="Titre">
    <w:name w:val="Title"/>
    <w:basedOn w:val="Normal"/>
    <w:next w:val="Normal"/>
    <w:link w:val="TitreCar"/>
    <w:uiPriority w:val="10"/>
    <w:qFormat/>
    <w:rsid w:val="00E8282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reCar">
    <w:name w:val="Titre Car"/>
    <w:basedOn w:val="Policepardfaut"/>
    <w:link w:val="Titre"/>
    <w:uiPriority w:val="10"/>
    <w:rsid w:val="00E8282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82827"/>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ous-titreCar">
    <w:name w:val="Sous-titre Car"/>
    <w:basedOn w:val="Policepardfaut"/>
    <w:link w:val="Sous-titre"/>
    <w:uiPriority w:val="11"/>
    <w:rsid w:val="00E8282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82827"/>
    <w:pPr>
      <w:spacing w:before="160" w:line="278" w:lineRule="auto"/>
      <w:jc w:val="center"/>
    </w:pPr>
    <w:rPr>
      <w:i/>
      <w:iCs/>
      <w:color w:val="404040" w:themeColor="text1" w:themeTint="BF"/>
      <w:kern w:val="2"/>
      <w:sz w:val="24"/>
      <w:szCs w:val="24"/>
      <w14:ligatures w14:val="standardContextual"/>
    </w:rPr>
  </w:style>
  <w:style w:type="character" w:customStyle="1" w:styleId="CitationCar">
    <w:name w:val="Citation Car"/>
    <w:basedOn w:val="Policepardfaut"/>
    <w:link w:val="Citation"/>
    <w:uiPriority w:val="29"/>
    <w:rsid w:val="00E82827"/>
    <w:rPr>
      <w:i/>
      <w:iCs/>
      <w:color w:val="404040" w:themeColor="text1" w:themeTint="BF"/>
    </w:rPr>
  </w:style>
  <w:style w:type="paragraph" w:styleId="Paragraphedeliste">
    <w:name w:val="List Paragraph"/>
    <w:basedOn w:val="Normal"/>
    <w:uiPriority w:val="34"/>
    <w:qFormat/>
    <w:rsid w:val="00E82827"/>
    <w:pPr>
      <w:spacing w:line="278" w:lineRule="auto"/>
      <w:ind w:left="720"/>
      <w:contextualSpacing/>
    </w:pPr>
    <w:rPr>
      <w:kern w:val="2"/>
      <w:sz w:val="24"/>
      <w:szCs w:val="24"/>
      <w14:ligatures w14:val="standardContextual"/>
    </w:rPr>
  </w:style>
  <w:style w:type="character" w:styleId="Accentuationintense">
    <w:name w:val="Intense Emphasis"/>
    <w:basedOn w:val="Policepardfaut"/>
    <w:uiPriority w:val="21"/>
    <w:qFormat/>
    <w:rsid w:val="00E82827"/>
    <w:rPr>
      <w:i/>
      <w:iCs/>
      <w:color w:val="0F4761" w:themeColor="accent1" w:themeShade="BF"/>
    </w:rPr>
  </w:style>
  <w:style w:type="paragraph" w:styleId="Citationintense">
    <w:name w:val="Intense Quote"/>
    <w:basedOn w:val="Normal"/>
    <w:next w:val="Normal"/>
    <w:link w:val="CitationintenseCar"/>
    <w:uiPriority w:val="30"/>
    <w:qFormat/>
    <w:rsid w:val="00E8282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CitationintenseCar">
    <w:name w:val="Citation intense Car"/>
    <w:basedOn w:val="Policepardfaut"/>
    <w:link w:val="Citationintense"/>
    <w:uiPriority w:val="30"/>
    <w:rsid w:val="00E82827"/>
    <w:rPr>
      <w:i/>
      <w:iCs/>
      <w:color w:val="0F4761" w:themeColor="accent1" w:themeShade="BF"/>
    </w:rPr>
  </w:style>
  <w:style w:type="character" w:styleId="Rfrenceintense">
    <w:name w:val="Intense Reference"/>
    <w:basedOn w:val="Policepardfaut"/>
    <w:uiPriority w:val="32"/>
    <w:qFormat/>
    <w:rsid w:val="00E82827"/>
    <w:rPr>
      <w:b/>
      <w:bCs/>
      <w:smallCaps/>
      <w:color w:val="0F4761" w:themeColor="accent1" w:themeShade="BF"/>
      <w:spacing w:val="5"/>
    </w:rPr>
  </w:style>
  <w:style w:type="table" w:styleId="Grilledutableau">
    <w:name w:val="Table Grid"/>
    <w:basedOn w:val="TableauNormal"/>
    <w:uiPriority w:val="39"/>
    <w:rsid w:val="00061CCF"/>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8B400C"/>
    <w:rPr>
      <w:color w:val="467886" w:themeColor="hyperlink"/>
      <w:u w:val="single"/>
    </w:rPr>
  </w:style>
  <w:style w:type="character" w:styleId="Mentionnonrsolue">
    <w:name w:val="Unresolved Mention"/>
    <w:basedOn w:val="Policepardfaut"/>
    <w:uiPriority w:val="99"/>
    <w:semiHidden/>
    <w:unhideWhenUsed/>
    <w:rsid w:val="008B400C"/>
    <w:rPr>
      <w:color w:val="605E5C"/>
      <w:shd w:val="clear" w:color="auto" w:fill="E1DFDD"/>
    </w:rPr>
  </w:style>
  <w:style w:type="paragraph" w:styleId="En-tte">
    <w:name w:val="header"/>
    <w:basedOn w:val="Normal"/>
    <w:link w:val="En-tteCar"/>
    <w:uiPriority w:val="99"/>
    <w:unhideWhenUsed/>
    <w:rsid w:val="00437F95"/>
    <w:pPr>
      <w:tabs>
        <w:tab w:val="center" w:pos="4536"/>
        <w:tab w:val="right" w:pos="9072"/>
      </w:tabs>
      <w:spacing w:after="0" w:line="240" w:lineRule="auto"/>
    </w:pPr>
  </w:style>
  <w:style w:type="character" w:customStyle="1" w:styleId="En-tteCar">
    <w:name w:val="En-tête Car"/>
    <w:basedOn w:val="Policepardfaut"/>
    <w:link w:val="En-tte"/>
    <w:uiPriority w:val="99"/>
    <w:rsid w:val="00437F95"/>
    <w:rPr>
      <w:kern w:val="0"/>
      <w:sz w:val="22"/>
      <w:szCs w:val="22"/>
      <w14:ligatures w14:val="none"/>
    </w:rPr>
  </w:style>
  <w:style w:type="paragraph" w:styleId="Pieddepage">
    <w:name w:val="footer"/>
    <w:basedOn w:val="Normal"/>
    <w:link w:val="PieddepageCar"/>
    <w:uiPriority w:val="99"/>
    <w:unhideWhenUsed/>
    <w:rsid w:val="00437F9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37F95"/>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62287">
      <w:bodyDiv w:val="1"/>
      <w:marLeft w:val="0"/>
      <w:marRight w:val="0"/>
      <w:marTop w:val="0"/>
      <w:marBottom w:val="0"/>
      <w:divBdr>
        <w:top w:val="none" w:sz="0" w:space="0" w:color="auto"/>
        <w:left w:val="none" w:sz="0" w:space="0" w:color="auto"/>
        <w:bottom w:val="none" w:sz="0" w:space="0" w:color="auto"/>
        <w:right w:val="none" w:sz="0" w:space="0" w:color="auto"/>
      </w:divBdr>
    </w:div>
    <w:div w:id="483475382">
      <w:bodyDiv w:val="1"/>
      <w:marLeft w:val="0"/>
      <w:marRight w:val="0"/>
      <w:marTop w:val="0"/>
      <w:marBottom w:val="0"/>
      <w:divBdr>
        <w:top w:val="none" w:sz="0" w:space="0" w:color="auto"/>
        <w:left w:val="none" w:sz="0" w:space="0" w:color="auto"/>
        <w:bottom w:val="none" w:sz="0" w:space="0" w:color="auto"/>
        <w:right w:val="none" w:sz="0" w:space="0" w:color="auto"/>
      </w:divBdr>
    </w:div>
    <w:div w:id="518130930">
      <w:bodyDiv w:val="1"/>
      <w:marLeft w:val="0"/>
      <w:marRight w:val="0"/>
      <w:marTop w:val="0"/>
      <w:marBottom w:val="0"/>
      <w:divBdr>
        <w:top w:val="none" w:sz="0" w:space="0" w:color="auto"/>
        <w:left w:val="none" w:sz="0" w:space="0" w:color="auto"/>
        <w:bottom w:val="none" w:sz="0" w:space="0" w:color="auto"/>
        <w:right w:val="none" w:sz="0" w:space="0" w:color="auto"/>
      </w:divBdr>
    </w:div>
    <w:div w:id="519901872">
      <w:bodyDiv w:val="1"/>
      <w:marLeft w:val="0"/>
      <w:marRight w:val="0"/>
      <w:marTop w:val="0"/>
      <w:marBottom w:val="0"/>
      <w:divBdr>
        <w:top w:val="none" w:sz="0" w:space="0" w:color="auto"/>
        <w:left w:val="none" w:sz="0" w:space="0" w:color="auto"/>
        <w:bottom w:val="none" w:sz="0" w:space="0" w:color="auto"/>
        <w:right w:val="none" w:sz="0" w:space="0" w:color="auto"/>
      </w:divBdr>
    </w:div>
    <w:div w:id="1203446501">
      <w:bodyDiv w:val="1"/>
      <w:marLeft w:val="0"/>
      <w:marRight w:val="0"/>
      <w:marTop w:val="0"/>
      <w:marBottom w:val="0"/>
      <w:divBdr>
        <w:top w:val="none" w:sz="0" w:space="0" w:color="auto"/>
        <w:left w:val="none" w:sz="0" w:space="0" w:color="auto"/>
        <w:bottom w:val="none" w:sz="0" w:space="0" w:color="auto"/>
        <w:right w:val="none" w:sz="0" w:space="0" w:color="auto"/>
      </w:divBdr>
    </w:div>
    <w:div w:id="1329596920">
      <w:bodyDiv w:val="1"/>
      <w:marLeft w:val="0"/>
      <w:marRight w:val="0"/>
      <w:marTop w:val="0"/>
      <w:marBottom w:val="0"/>
      <w:divBdr>
        <w:top w:val="none" w:sz="0" w:space="0" w:color="auto"/>
        <w:left w:val="none" w:sz="0" w:space="0" w:color="auto"/>
        <w:bottom w:val="none" w:sz="0" w:space="0" w:color="auto"/>
        <w:right w:val="none" w:sz="0" w:space="0" w:color="auto"/>
      </w:divBdr>
    </w:div>
    <w:div w:id="1638335214">
      <w:bodyDiv w:val="1"/>
      <w:marLeft w:val="0"/>
      <w:marRight w:val="0"/>
      <w:marTop w:val="0"/>
      <w:marBottom w:val="0"/>
      <w:divBdr>
        <w:top w:val="none" w:sz="0" w:space="0" w:color="auto"/>
        <w:left w:val="none" w:sz="0" w:space="0" w:color="auto"/>
        <w:bottom w:val="none" w:sz="0" w:space="0" w:color="auto"/>
        <w:right w:val="none" w:sz="0" w:space="0" w:color="auto"/>
      </w:divBdr>
    </w:div>
    <w:div w:id="1725761298">
      <w:bodyDiv w:val="1"/>
      <w:marLeft w:val="0"/>
      <w:marRight w:val="0"/>
      <w:marTop w:val="0"/>
      <w:marBottom w:val="0"/>
      <w:divBdr>
        <w:top w:val="none" w:sz="0" w:space="0" w:color="auto"/>
        <w:left w:val="none" w:sz="0" w:space="0" w:color="auto"/>
        <w:bottom w:val="none" w:sz="0" w:space="0" w:color="auto"/>
        <w:right w:val="none" w:sz="0" w:space="0" w:color="auto"/>
      </w:divBdr>
    </w:div>
    <w:div w:id="1768888719">
      <w:bodyDiv w:val="1"/>
      <w:marLeft w:val="0"/>
      <w:marRight w:val="0"/>
      <w:marTop w:val="0"/>
      <w:marBottom w:val="0"/>
      <w:divBdr>
        <w:top w:val="none" w:sz="0" w:space="0" w:color="auto"/>
        <w:left w:val="none" w:sz="0" w:space="0" w:color="auto"/>
        <w:bottom w:val="none" w:sz="0" w:space="0" w:color="auto"/>
        <w:right w:val="none" w:sz="0" w:space="0" w:color="auto"/>
      </w:divBdr>
    </w:div>
    <w:div w:id="1781485715">
      <w:bodyDiv w:val="1"/>
      <w:marLeft w:val="0"/>
      <w:marRight w:val="0"/>
      <w:marTop w:val="0"/>
      <w:marBottom w:val="0"/>
      <w:divBdr>
        <w:top w:val="none" w:sz="0" w:space="0" w:color="auto"/>
        <w:left w:val="none" w:sz="0" w:space="0" w:color="auto"/>
        <w:bottom w:val="none" w:sz="0" w:space="0" w:color="auto"/>
        <w:right w:val="none" w:sz="0" w:space="0" w:color="auto"/>
      </w:divBdr>
    </w:div>
    <w:div w:id="1790511441">
      <w:bodyDiv w:val="1"/>
      <w:marLeft w:val="0"/>
      <w:marRight w:val="0"/>
      <w:marTop w:val="0"/>
      <w:marBottom w:val="0"/>
      <w:divBdr>
        <w:top w:val="none" w:sz="0" w:space="0" w:color="auto"/>
        <w:left w:val="none" w:sz="0" w:space="0" w:color="auto"/>
        <w:bottom w:val="none" w:sz="0" w:space="0" w:color="auto"/>
        <w:right w:val="none" w:sz="0" w:space="0" w:color="auto"/>
      </w:divBdr>
    </w:div>
    <w:div w:id="1855343495">
      <w:bodyDiv w:val="1"/>
      <w:marLeft w:val="0"/>
      <w:marRight w:val="0"/>
      <w:marTop w:val="0"/>
      <w:marBottom w:val="0"/>
      <w:divBdr>
        <w:top w:val="none" w:sz="0" w:space="0" w:color="auto"/>
        <w:left w:val="none" w:sz="0" w:space="0" w:color="auto"/>
        <w:bottom w:val="none" w:sz="0" w:space="0" w:color="auto"/>
        <w:right w:val="none" w:sz="0" w:space="0" w:color="auto"/>
      </w:divBdr>
    </w:div>
    <w:div w:id="1967469215">
      <w:bodyDiv w:val="1"/>
      <w:marLeft w:val="0"/>
      <w:marRight w:val="0"/>
      <w:marTop w:val="0"/>
      <w:marBottom w:val="0"/>
      <w:divBdr>
        <w:top w:val="none" w:sz="0" w:space="0" w:color="auto"/>
        <w:left w:val="none" w:sz="0" w:space="0" w:color="auto"/>
        <w:bottom w:val="none" w:sz="0" w:space="0" w:color="auto"/>
        <w:right w:val="none" w:sz="0" w:space="0" w:color="auto"/>
      </w:divBdr>
    </w:div>
    <w:div w:id="212823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93B497F7-97B6-467D-BF54-554E16532EF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uria.europa.eu/jcms/upload/docs/application/pdf/2025-09/cp250107en.pdf" TargetMode="External"/><Relationship Id="rId5" Type="http://schemas.openxmlformats.org/officeDocument/2006/relationships/footnotes" Target="footnotes.xml"/><Relationship Id="rId10" Type="http://schemas.openxmlformats.org/officeDocument/2006/relationships/hyperlink" Target="https://digital-strategy.ec.europa.eu/en/library/digital-omnibus-ai-regulation-proposal" TargetMode="External"/><Relationship Id="rId4" Type="http://schemas.openxmlformats.org/officeDocument/2006/relationships/webSettings" Target="webSettings.xml"/><Relationship Id="rId9" Type="http://schemas.openxmlformats.org/officeDocument/2006/relationships/hyperlink" Target="https://digital-strategy.ec.europa.eu/en/library/digital-omnibus-regulation-proposal"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889</Words>
  <Characters>4893</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CPME</Company>
  <LinksUpToDate>false</LinksUpToDate>
  <CharactersWithSpaces>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Axelle Bouali</dc:creator>
  <cp:keywords/>
  <dc:description/>
  <cp:lastModifiedBy>Beatrice Brisson</cp:lastModifiedBy>
  <cp:revision>49</cp:revision>
  <dcterms:created xsi:type="dcterms:W3CDTF">2025-10-20T14:59:00Z</dcterms:created>
  <dcterms:modified xsi:type="dcterms:W3CDTF">2025-11-26T11:10:00Z</dcterms:modified>
</cp:coreProperties>
</file>